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16272" w14:textId="77777777" w:rsidR="00481F16" w:rsidRDefault="00481F16">
      <w:pPr>
        <w:spacing w:after="160" w:line="259" w:lineRule="auto"/>
        <w:rPr>
          <w:rFonts w:ascii="Calibri" w:eastAsia="Calibri" w:hAnsi="Calibri"/>
          <w:b/>
          <w:sz w:val="22"/>
          <w:szCs w:val="22"/>
        </w:rPr>
      </w:pPr>
    </w:p>
    <w:p w14:paraId="265AB025" w14:textId="77777777" w:rsidR="00481F16" w:rsidRDefault="00170EF2">
      <w:pPr>
        <w:pBdr>
          <w:bottom w:val="single" w:sz="4" w:space="1" w:color="auto"/>
        </w:pBdr>
        <w:spacing w:line="259" w:lineRule="auto"/>
        <w:ind w:firstLine="3"/>
        <w:rPr>
          <w:rFonts w:ascii="Calibri" w:eastAsia="Calibri" w:hAnsi="Calibri"/>
          <w:b/>
          <w:sz w:val="22"/>
          <w:szCs w:val="22"/>
        </w:rPr>
      </w:pPr>
      <w:r>
        <w:rPr>
          <w:rFonts w:ascii="Calibri" w:eastAsia="Calibri" w:hAnsi="Calibri"/>
          <w:b/>
          <w:sz w:val="22"/>
          <w:szCs w:val="22"/>
        </w:rPr>
        <w:t>EUSKAL AUTONOMIA ERKIDEGOKO ADMINISTRAZIO OROKORRAREN ETA ARABAKO FORU ALDUNDIAREN ARTEKO LANKIDETZA HITZARMENA, AIARALDEA ESKUALDEKO LEHENTASUNEZKO JARDUKETA EREMUAK BERRABIARAZTEKO PLANAREN BARRUKO TURISMO-ZERBITZUEN ESKAINTZA INTEGRATUA GARATZEKO PROIEKTUAREN ESPARRUAN JARDUKETAK EGITEKO</w:t>
      </w:r>
    </w:p>
    <w:p w14:paraId="497FC55C" w14:textId="77777777" w:rsidR="00481F16" w:rsidRDefault="00481F16">
      <w:pPr>
        <w:spacing w:after="160" w:line="259" w:lineRule="auto"/>
        <w:ind w:left="2124" w:hanging="2124"/>
        <w:jc w:val="center"/>
        <w:rPr>
          <w:rFonts w:ascii="Calibri" w:eastAsia="Calibri" w:hAnsi="Calibri"/>
          <w:sz w:val="22"/>
          <w:szCs w:val="22"/>
        </w:rPr>
      </w:pPr>
    </w:p>
    <w:p w14:paraId="0A031EE4" w14:textId="1F2780AA" w:rsidR="00481F16" w:rsidRDefault="00170EF2">
      <w:pPr>
        <w:spacing w:after="160" w:line="259" w:lineRule="auto"/>
        <w:ind w:left="2124" w:hanging="2124"/>
        <w:jc w:val="center"/>
        <w:rPr>
          <w:rFonts w:ascii="Calibri" w:eastAsia="Calibri" w:hAnsi="Calibri"/>
          <w:b/>
          <w:sz w:val="22"/>
          <w:szCs w:val="22"/>
        </w:rPr>
      </w:pPr>
      <w:r>
        <w:rPr>
          <w:rFonts w:ascii="Calibri" w:eastAsia="Calibri" w:hAnsi="Calibri"/>
          <w:b/>
          <w:sz w:val="22"/>
          <w:szCs w:val="22"/>
        </w:rPr>
        <w:t>BILDU DIRA</w:t>
      </w:r>
    </w:p>
    <w:p w14:paraId="34C4D30E" w14:textId="01D3381A" w:rsidR="00481F16" w:rsidRDefault="00170EF2">
      <w:pPr>
        <w:spacing w:after="160" w:line="259" w:lineRule="auto"/>
        <w:rPr>
          <w:rFonts w:ascii="Calibri" w:eastAsia="Calibri" w:hAnsi="Calibri"/>
          <w:sz w:val="22"/>
          <w:szCs w:val="22"/>
        </w:rPr>
      </w:pPr>
      <w:r>
        <w:rPr>
          <w:rFonts w:ascii="Calibri" w:eastAsia="Calibri" w:hAnsi="Calibri"/>
          <w:sz w:val="22"/>
          <w:szCs w:val="22"/>
        </w:rPr>
        <w:t>Alde batetik, Javier Hurtado Domínguez jauna, Eusko Jaurlaritzako Turismo, Merkataritza eta Kontsumoko sailburua, lehendakariaren irailaren 7ko 30/2020 Dekretuaren bidez izendatua (2020ko irailaren 8ko EHAA), Euskal Autonomia Erkidegoko Administrazio Orokorraren ordezkari gisa, eta hitzarmen hau formalizatzeko baimena duena Gobernu Kontseiluaren 202</w:t>
      </w:r>
      <w:r w:rsidR="007D6BBB">
        <w:rPr>
          <w:rFonts w:ascii="Calibri" w:eastAsia="Calibri" w:hAnsi="Calibri"/>
          <w:sz w:val="22"/>
          <w:szCs w:val="22"/>
        </w:rPr>
        <w:t>2</w:t>
      </w:r>
      <w:r>
        <w:rPr>
          <w:rFonts w:ascii="Calibri" w:eastAsia="Calibri" w:hAnsi="Calibri"/>
          <w:sz w:val="22"/>
          <w:szCs w:val="22"/>
        </w:rPr>
        <w:t>eko erabakiaren bidez.</w:t>
      </w:r>
    </w:p>
    <w:p w14:paraId="4E3FDBB6" w14:textId="53A6BB3B" w:rsidR="00481F16" w:rsidRDefault="00170EF2">
      <w:pPr>
        <w:autoSpaceDE w:val="0"/>
        <w:autoSpaceDN w:val="0"/>
        <w:adjustRightInd w:val="0"/>
        <w:rPr>
          <w:rFonts w:ascii="Calibri" w:eastAsia="Calibri" w:hAnsi="Calibri"/>
          <w:sz w:val="22"/>
          <w:szCs w:val="22"/>
        </w:rPr>
      </w:pPr>
      <w:r>
        <w:rPr>
          <w:rFonts w:ascii="Calibri" w:eastAsia="Calibri" w:hAnsi="Calibri"/>
          <w:sz w:val="22"/>
          <w:szCs w:val="22"/>
        </w:rPr>
        <w:t xml:space="preserve">Bestetik, </w:t>
      </w:r>
      <w:proofErr w:type="spellStart"/>
      <w:r>
        <w:rPr>
          <w:rFonts w:ascii="Calibri" w:eastAsia="Calibri" w:hAnsi="Calibri"/>
          <w:sz w:val="22"/>
          <w:szCs w:val="22"/>
        </w:rPr>
        <w:t>Ramiro</w:t>
      </w:r>
      <w:proofErr w:type="spellEnd"/>
      <w:r>
        <w:rPr>
          <w:rFonts w:ascii="Calibri" w:eastAsia="Calibri" w:hAnsi="Calibri"/>
          <w:sz w:val="22"/>
          <w:szCs w:val="22"/>
        </w:rPr>
        <w:t xml:space="preserve"> González Vicente jauna, Arabako diputatu nagusia, Arabako Batzar Nagusien Osoko Bilkurak 2019ko uztailaren 4an hartutako erabakiaren bidez egindako izendapena betez (2019ko uztailaren 11ko Arabako Batzar Nagusien Aldizkari Ofiziala, 20. zk.), Arabako Foru Aldundia ordezkatuz, Arabako Foru Aldundiaren Antolaketa, Funtzionamendu eta Araubide Juridikoari buruzko abenduaren 18ko 52/1992 Foru Arauaren 19.2 artikuluan aurreikusitakoaren arabera (urtarrilaren 25eko ALHAO, 9/1993 zk.).</w:t>
      </w:r>
    </w:p>
    <w:p w14:paraId="2C7299BF" w14:textId="43810C81" w:rsidR="00481F16" w:rsidRDefault="00481F16">
      <w:pPr>
        <w:keepNext/>
        <w:keepLines/>
        <w:spacing w:after="160" w:line="285" w:lineRule="atLeast"/>
        <w:jc w:val="left"/>
        <w:outlineLvl w:val="2"/>
        <w:rPr>
          <w:rFonts w:ascii="Calibri" w:eastAsia="Calibri" w:hAnsi="Calibri"/>
          <w:sz w:val="22"/>
          <w:szCs w:val="22"/>
        </w:rPr>
      </w:pPr>
    </w:p>
    <w:p w14:paraId="30965908" w14:textId="300AE150" w:rsidR="00481F16" w:rsidRDefault="00170EF2">
      <w:pPr>
        <w:keepNext/>
        <w:keepLines/>
        <w:spacing w:after="160" w:line="285" w:lineRule="atLeast"/>
        <w:jc w:val="left"/>
        <w:outlineLvl w:val="2"/>
        <w:rPr>
          <w:rFonts w:ascii="Calibri" w:eastAsia="Calibri" w:hAnsi="Calibri"/>
          <w:sz w:val="22"/>
          <w:szCs w:val="22"/>
        </w:rPr>
      </w:pPr>
      <w:r>
        <w:rPr>
          <w:rFonts w:ascii="Calibri" w:eastAsia="Calibri" w:hAnsi="Calibri"/>
          <w:sz w:val="22"/>
          <w:szCs w:val="22"/>
        </w:rPr>
        <w:t>Alderdiek elkarri aitortu diote, bakoitzak esku hartzen duen moduan, hitzarmen hau sinatzeko behar den legezko gaitasuna, eta, horretarako, honako hau</w:t>
      </w:r>
    </w:p>
    <w:p w14:paraId="27714242" w14:textId="77777777" w:rsidR="00481F16" w:rsidRDefault="00481F16">
      <w:pPr>
        <w:spacing w:after="160" w:line="259" w:lineRule="auto"/>
        <w:ind w:left="2124" w:hanging="2124"/>
        <w:jc w:val="center"/>
        <w:rPr>
          <w:rFonts w:ascii="Calibri" w:eastAsia="Calibri" w:hAnsi="Calibri"/>
          <w:b/>
          <w:sz w:val="22"/>
          <w:szCs w:val="22"/>
        </w:rPr>
      </w:pPr>
    </w:p>
    <w:p w14:paraId="3F07A156" w14:textId="77777777" w:rsidR="00481F16" w:rsidRDefault="00170EF2">
      <w:pPr>
        <w:spacing w:after="160" w:line="259" w:lineRule="auto"/>
        <w:ind w:left="2124" w:hanging="2124"/>
        <w:jc w:val="center"/>
        <w:rPr>
          <w:rFonts w:ascii="Calibri" w:eastAsia="Calibri" w:hAnsi="Calibri"/>
          <w:b/>
          <w:sz w:val="22"/>
          <w:szCs w:val="22"/>
        </w:rPr>
      </w:pPr>
      <w:r>
        <w:rPr>
          <w:rFonts w:ascii="Calibri" w:eastAsia="Calibri" w:hAnsi="Calibri"/>
          <w:b/>
          <w:sz w:val="22"/>
          <w:szCs w:val="22"/>
        </w:rPr>
        <w:t>AZALDU DUTE</w:t>
      </w:r>
    </w:p>
    <w:p w14:paraId="22C54566" w14:textId="77777777" w:rsidR="00481F16" w:rsidRPr="007446F5" w:rsidRDefault="00170EF2">
      <w:pPr>
        <w:spacing w:line="0" w:lineRule="atLeast"/>
        <w:rPr>
          <w:rFonts w:ascii="Calibri" w:eastAsia="Calibri" w:hAnsi="Calibri"/>
          <w:sz w:val="22"/>
          <w:szCs w:val="22"/>
        </w:rPr>
      </w:pPr>
      <w:r>
        <w:rPr>
          <w:rFonts w:ascii="Calibri" w:eastAsia="Calibri" w:hAnsi="Calibri"/>
          <w:b/>
          <w:sz w:val="22"/>
          <w:szCs w:val="22"/>
        </w:rPr>
        <w:t xml:space="preserve">I.- </w:t>
      </w:r>
      <w:r w:rsidRPr="007446F5">
        <w:rPr>
          <w:rFonts w:ascii="Calibri" w:eastAsia="Calibri" w:hAnsi="Calibri"/>
          <w:sz w:val="22"/>
          <w:szCs w:val="22"/>
        </w:rPr>
        <w:t>Eusko Legebiltzarraren 2019ko maiatzaren 2ko Erabakiaren bidez, Aiaraldea eskualdea suspertzeko eta suspertzeko ponentzia sortzea erabaki zen, aurreko krisi ekonomikoak eta industria-ehunaren galerak bereziki eragin baitzioten.</w:t>
      </w:r>
    </w:p>
    <w:p w14:paraId="050415C7" w14:textId="77777777" w:rsidR="00481F16" w:rsidRDefault="00481F16">
      <w:pPr>
        <w:spacing w:line="0" w:lineRule="atLeast"/>
        <w:rPr>
          <w:rFonts w:ascii="Calibri" w:eastAsia="Calibri" w:hAnsi="Calibri"/>
          <w:sz w:val="22"/>
          <w:szCs w:val="22"/>
        </w:rPr>
      </w:pPr>
    </w:p>
    <w:p w14:paraId="08C41DDB" w14:textId="4EDA17DD" w:rsidR="00481F16" w:rsidRDefault="00170EF2">
      <w:pPr>
        <w:spacing w:line="0" w:lineRule="atLeast"/>
        <w:rPr>
          <w:rFonts w:ascii="Calibri" w:eastAsia="Calibri" w:hAnsi="Calibri"/>
          <w:sz w:val="22"/>
          <w:szCs w:val="22"/>
        </w:rPr>
      </w:pPr>
      <w:r>
        <w:rPr>
          <w:rFonts w:ascii="Calibri" w:eastAsia="Calibri" w:hAnsi="Calibri"/>
          <w:sz w:val="22"/>
          <w:szCs w:val="22"/>
        </w:rPr>
        <w:t>Eusko Legebiltzarraren Osoko Bilkurak, 2021eko azaroaren 25ean egindako bilkuran, Aiaraldea eskualdea suspertzeko ponentziaren txostena onartu zuen, eta Eusko Legebiltzarraren Aldizkari Ofizialean argitaratu zen.</w:t>
      </w:r>
    </w:p>
    <w:p w14:paraId="66BA14A0" w14:textId="77777777" w:rsidR="00481F16" w:rsidRDefault="00481F16">
      <w:pPr>
        <w:spacing w:line="0" w:lineRule="atLeast"/>
        <w:rPr>
          <w:rFonts w:ascii="Calibri" w:eastAsia="Calibri" w:hAnsi="Calibri"/>
          <w:sz w:val="22"/>
          <w:szCs w:val="22"/>
        </w:rPr>
      </w:pPr>
    </w:p>
    <w:p w14:paraId="0BB63590" w14:textId="77777777" w:rsidR="00481F16" w:rsidRDefault="00170EF2">
      <w:pPr>
        <w:spacing w:line="0" w:lineRule="atLeast"/>
        <w:rPr>
          <w:rFonts w:ascii="Calibri" w:eastAsia="Calibri" w:hAnsi="Calibri"/>
          <w:sz w:val="22"/>
          <w:szCs w:val="22"/>
        </w:rPr>
      </w:pPr>
      <w:r>
        <w:rPr>
          <w:rFonts w:ascii="Calibri" w:eastAsia="Calibri" w:hAnsi="Calibri"/>
          <w:sz w:val="22"/>
          <w:szCs w:val="22"/>
        </w:rPr>
        <w:t>Ponentzia horren ondorioetan proposatzen zaie erakunde publikoei, batetik, ponentziaren txostena onartu eta hiru hilabeteko epean, berehala jarduteko plan bat egitea, eta, bestetik, ponentziaren txostena onartu eta gehienez 10 hilabeteko epean, epe ertainean (hiru urtera) egin beharreko plan estrategiko bat egitea.</w:t>
      </w:r>
    </w:p>
    <w:p w14:paraId="68319D51" w14:textId="77777777" w:rsidR="00481F16" w:rsidRDefault="00481F16">
      <w:pPr>
        <w:spacing w:line="0" w:lineRule="atLeast"/>
        <w:rPr>
          <w:rFonts w:ascii="Calibri" w:eastAsia="Calibri" w:hAnsi="Calibri"/>
          <w:sz w:val="22"/>
          <w:szCs w:val="22"/>
        </w:rPr>
      </w:pPr>
    </w:p>
    <w:p w14:paraId="526D1B9E" w14:textId="77777777" w:rsidR="00481F16" w:rsidRPr="007446F5" w:rsidRDefault="00170EF2">
      <w:pPr>
        <w:spacing w:line="0" w:lineRule="atLeast"/>
        <w:rPr>
          <w:rFonts w:ascii="Calibri" w:eastAsia="Calibri" w:hAnsi="Calibri"/>
          <w:sz w:val="22"/>
          <w:szCs w:val="22"/>
        </w:rPr>
      </w:pPr>
      <w:r>
        <w:rPr>
          <w:rFonts w:ascii="Calibri" w:eastAsia="Calibri" w:hAnsi="Calibri"/>
          <w:b/>
          <w:sz w:val="22"/>
          <w:szCs w:val="22"/>
        </w:rPr>
        <w:t xml:space="preserve">II.- </w:t>
      </w:r>
      <w:r w:rsidRPr="007446F5">
        <w:rPr>
          <w:rFonts w:ascii="Calibri" w:eastAsia="Calibri" w:hAnsi="Calibri"/>
          <w:sz w:val="22"/>
          <w:szCs w:val="22"/>
        </w:rPr>
        <w:t>2020ko azaroaren 3an, Euskadiko Gobernu Kontseiluak BERPIZTU programa onartu zuen (Euskadiko Ekonomia eta Enplegua Suspertzeko 2020-2024 Programa), Euskadiko ekonomiaren eta enpleguaren susperraldiaren funtsezko erronkei erantzun integrala emateko.</w:t>
      </w:r>
    </w:p>
    <w:p w14:paraId="3EC96B84" w14:textId="77777777" w:rsidR="00481F16" w:rsidRDefault="00481F16">
      <w:pPr>
        <w:spacing w:line="0" w:lineRule="atLeast"/>
        <w:rPr>
          <w:rFonts w:ascii="Calibri" w:eastAsia="Calibri" w:hAnsi="Calibri"/>
          <w:sz w:val="22"/>
          <w:szCs w:val="22"/>
        </w:rPr>
      </w:pPr>
    </w:p>
    <w:p w14:paraId="502E8F1A" w14:textId="77777777" w:rsidR="00481F16" w:rsidRPr="007446F5" w:rsidRDefault="00170EF2">
      <w:pPr>
        <w:spacing w:line="0" w:lineRule="atLeast"/>
        <w:rPr>
          <w:rFonts w:ascii="Calibri" w:eastAsia="Calibri" w:hAnsi="Calibri"/>
          <w:sz w:val="22"/>
          <w:szCs w:val="22"/>
        </w:rPr>
      </w:pPr>
      <w:r>
        <w:rPr>
          <w:rFonts w:ascii="Calibri" w:eastAsia="Calibri" w:hAnsi="Calibri"/>
          <w:b/>
          <w:sz w:val="22"/>
          <w:szCs w:val="22"/>
        </w:rPr>
        <w:t xml:space="preserve">III.- </w:t>
      </w:r>
      <w:r w:rsidRPr="007446F5">
        <w:rPr>
          <w:rFonts w:ascii="Calibri" w:eastAsia="Calibri" w:hAnsi="Calibri"/>
          <w:sz w:val="22"/>
          <w:szCs w:val="22"/>
        </w:rPr>
        <w:t>Gobernu Kontseiluak, 2022ko martxoaren 1ean, Aiaraldea Eskualdearen berehalako Jarduketa Plana onartu zuen, Euskadiko lehentasunezko jarduketa-eremuetako bat den aldetik, eta 24 milioi euroko zuzkidura du zortzi proiektu traktore abian jartzeko. Proiektu traktore horiek hainbat kudeaketa-arlotan eragiten dute, eta inbertsio-jarduera zehatzak dituzte xede.</w:t>
      </w:r>
    </w:p>
    <w:p w14:paraId="2534C4B8" w14:textId="77777777" w:rsidR="00481F16" w:rsidRDefault="00481F16">
      <w:pPr>
        <w:spacing w:line="0" w:lineRule="atLeast"/>
        <w:rPr>
          <w:rFonts w:ascii="Calibri" w:eastAsia="Calibri" w:hAnsi="Calibri"/>
          <w:sz w:val="22"/>
          <w:szCs w:val="22"/>
        </w:rPr>
      </w:pPr>
    </w:p>
    <w:p w14:paraId="746B8C60" w14:textId="77777777" w:rsidR="00481F16" w:rsidRDefault="00170EF2">
      <w:pPr>
        <w:shd w:val="clear" w:color="auto" w:fill="FFFFFF"/>
        <w:spacing w:line="0" w:lineRule="atLeast"/>
        <w:rPr>
          <w:rFonts w:ascii="Calibri" w:eastAsia="Calibri" w:hAnsi="Calibri"/>
          <w:sz w:val="22"/>
          <w:szCs w:val="22"/>
        </w:rPr>
      </w:pPr>
      <w:r>
        <w:rPr>
          <w:rFonts w:ascii="Calibri" w:eastAsia="Calibri" w:hAnsi="Calibri"/>
          <w:b/>
          <w:sz w:val="22"/>
          <w:szCs w:val="22"/>
        </w:rPr>
        <w:t xml:space="preserve">IV. – </w:t>
      </w:r>
      <w:r w:rsidRPr="007446F5">
        <w:rPr>
          <w:rFonts w:ascii="Calibri" w:eastAsia="Calibri" w:hAnsi="Calibri"/>
          <w:sz w:val="22"/>
          <w:szCs w:val="22"/>
        </w:rPr>
        <w:t>Aiaraldea Eskualderako Berehalako Jarduera Planak, helburu horiek lortzeko, proiektu bultzatzaile multzo bat egitea aurreikusten du. Proiektu horiek partaidetza- eta lankidetza-prozesu batean definituta daude, eta eskualdeko eragile ekonomiko, sozial eta erakundeek modu erabakigarrian esku hartu dute. Horretarako, 2022-2023 aldian gauzatu beharreko inbertsio-jarduera zehatzak sortu dira, eta kasu batzuetan 2024ko ekitaldira heda daitezke.</w:t>
      </w:r>
    </w:p>
    <w:p w14:paraId="5CF52E4B" w14:textId="77777777" w:rsidR="00481F16" w:rsidRDefault="00481F16">
      <w:pPr>
        <w:shd w:val="clear" w:color="auto" w:fill="FFFFFF"/>
        <w:spacing w:line="0" w:lineRule="atLeast"/>
        <w:rPr>
          <w:rFonts w:ascii="Calibri" w:eastAsia="Calibri" w:hAnsi="Calibri"/>
          <w:sz w:val="22"/>
          <w:szCs w:val="22"/>
        </w:rPr>
      </w:pPr>
    </w:p>
    <w:p w14:paraId="44FDD0FB" w14:textId="77777777" w:rsidR="00481F16" w:rsidRPr="007446F5" w:rsidRDefault="00170EF2">
      <w:pPr>
        <w:autoSpaceDE w:val="0"/>
        <w:autoSpaceDN w:val="0"/>
        <w:adjustRightInd w:val="0"/>
        <w:spacing w:line="0" w:lineRule="atLeast"/>
        <w:rPr>
          <w:rFonts w:ascii="Calibri" w:eastAsia="Calibri" w:hAnsi="Calibri"/>
          <w:sz w:val="22"/>
          <w:szCs w:val="22"/>
        </w:rPr>
      </w:pPr>
      <w:r>
        <w:rPr>
          <w:rFonts w:ascii="Calibri" w:eastAsia="Calibri" w:hAnsi="Calibri"/>
          <w:b/>
          <w:sz w:val="22"/>
          <w:szCs w:val="22"/>
        </w:rPr>
        <w:lastRenderedPageBreak/>
        <w:t xml:space="preserve">V.- </w:t>
      </w:r>
      <w:r w:rsidRPr="007446F5">
        <w:rPr>
          <w:rFonts w:ascii="Calibri" w:eastAsia="Calibri" w:hAnsi="Calibri"/>
          <w:sz w:val="22"/>
          <w:szCs w:val="22"/>
        </w:rPr>
        <w:t xml:space="preserve">Planean zehaztutako trakzio-proiektuen artean dago Aiaraldeko </w:t>
      </w:r>
      <w:proofErr w:type="spellStart"/>
      <w:r w:rsidRPr="007446F5">
        <w:rPr>
          <w:rFonts w:ascii="Calibri" w:eastAsia="Calibri" w:hAnsi="Calibri"/>
          <w:sz w:val="22"/>
          <w:szCs w:val="22"/>
        </w:rPr>
        <w:t>ZAPen</w:t>
      </w:r>
      <w:proofErr w:type="spellEnd"/>
      <w:r w:rsidRPr="007446F5">
        <w:rPr>
          <w:rFonts w:ascii="Calibri" w:eastAsia="Calibri" w:hAnsi="Calibri"/>
          <w:sz w:val="22"/>
          <w:szCs w:val="22"/>
        </w:rPr>
        <w:t xml:space="preserve"> ezarri beharreko turismo-zerbitzuen eskaintza integratua garatzea. Horren jarduna bat dator Eusko Jaurlaritzako Turismo, Merkataritza eta Kontsumo Sailaren eskumen-eremuan, haren jarduketa integrala baita baliabide turistikoei balioa emateko, bai eta eskualdeko turismo jasangarriaren eskaintza antolatzeko plan bat egitea ere, turismoari zuzendutako ekitaldi bereziak zehazteko eta baliabide turistiko guztiak elkarrekin konektatzeko.</w:t>
      </w:r>
    </w:p>
    <w:p w14:paraId="58470FF0" w14:textId="77777777" w:rsidR="00481F16" w:rsidRDefault="00481F16">
      <w:pPr>
        <w:autoSpaceDE w:val="0"/>
        <w:autoSpaceDN w:val="0"/>
        <w:adjustRightInd w:val="0"/>
        <w:spacing w:line="0" w:lineRule="atLeast"/>
        <w:ind w:left="2124" w:hanging="2124"/>
        <w:rPr>
          <w:rFonts w:ascii="Calibri" w:eastAsia="Calibri" w:hAnsi="Calibri"/>
          <w:sz w:val="22"/>
          <w:szCs w:val="22"/>
        </w:rPr>
      </w:pPr>
    </w:p>
    <w:p w14:paraId="393B5376" w14:textId="77777777" w:rsidR="00481F16" w:rsidRDefault="00170EF2">
      <w:pPr>
        <w:autoSpaceDE w:val="0"/>
        <w:autoSpaceDN w:val="0"/>
        <w:adjustRightInd w:val="0"/>
        <w:spacing w:line="0" w:lineRule="atLeast"/>
        <w:ind w:firstLine="3"/>
        <w:rPr>
          <w:rFonts w:ascii="Calibri" w:eastAsia="Calibri" w:hAnsi="Calibri"/>
          <w:sz w:val="22"/>
          <w:szCs w:val="22"/>
        </w:rPr>
      </w:pPr>
      <w:r>
        <w:rPr>
          <w:rFonts w:ascii="Calibri" w:eastAsia="Calibri" w:hAnsi="Calibri"/>
          <w:sz w:val="22"/>
          <w:szCs w:val="22"/>
        </w:rPr>
        <w:t>Azaroaren 25eko 27/1983 Legeak, Autonomia Erkidego Osorako Erakundeen eta bertako Lurralde Historikoetako Foruzko Jardute Erakundeen arteko harremanei buruzkoak, 2. artikuluan ezartzen duenez, Euskal Autonomia Erkidegoko administrazioek, bakoitzak bere eskumenak erabiliz, eraginkortasun- eta koordinazio-printzipioen arabera jardungo dute.</w:t>
      </w:r>
    </w:p>
    <w:p w14:paraId="33FDB793" w14:textId="77777777" w:rsidR="00481F16" w:rsidRDefault="00481F16">
      <w:pPr>
        <w:autoSpaceDE w:val="0"/>
        <w:autoSpaceDN w:val="0"/>
        <w:adjustRightInd w:val="0"/>
        <w:spacing w:line="0" w:lineRule="atLeast"/>
        <w:ind w:firstLine="3"/>
        <w:rPr>
          <w:rFonts w:ascii="Calibri" w:eastAsia="Calibri" w:hAnsi="Calibri"/>
          <w:sz w:val="22"/>
          <w:szCs w:val="22"/>
        </w:rPr>
      </w:pPr>
    </w:p>
    <w:p w14:paraId="277856D9" w14:textId="4FA0AED6" w:rsidR="00481F16" w:rsidRDefault="00170EF2">
      <w:pPr>
        <w:autoSpaceDE w:val="0"/>
        <w:autoSpaceDN w:val="0"/>
        <w:adjustRightInd w:val="0"/>
        <w:spacing w:line="0" w:lineRule="atLeast"/>
        <w:ind w:firstLine="3"/>
        <w:rPr>
          <w:rFonts w:ascii="Calibri" w:eastAsia="Calibri" w:hAnsi="Calibri"/>
          <w:sz w:val="22"/>
          <w:szCs w:val="22"/>
        </w:rPr>
      </w:pPr>
      <w:r>
        <w:rPr>
          <w:rFonts w:ascii="Calibri" w:eastAsia="Calibri" w:hAnsi="Calibri"/>
          <w:sz w:val="22"/>
          <w:szCs w:val="22"/>
        </w:rPr>
        <w:t>Arabako Foru Aldundiari dagokio lurralde historikoan garapen ekonomiko eta soziala sustatzen eta plangintza egiten laguntzea, Toki Araubidearen Oinarriak arautzen dituen apirilaren 2ko 7/1985 Legearen 36.1.d) artikuluan eta Euskadiko Toki Erakundeei buruzko apirilaren 7ko 2/2016 Legean ezarritakoaren arabera.</w:t>
      </w:r>
    </w:p>
    <w:p w14:paraId="4EA89182" w14:textId="77777777" w:rsidR="00481F16" w:rsidRDefault="00481F16">
      <w:pPr>
        <w:autoSpaceDE w:val="0"/>
        <w:autoSpaceDN w:val="0"/>
        <w:adjustRightInd w:val="0"/>
        <w:spacing w:line="0" w:lineRule="atLeast"/>
        <w:ind w:firstLine="3"/>
        <w:rPr>
          <w:rFonts w:ascii="Calibri" w:eastAsia="Calibri" w:hAnsi="Calibri"/>
          <w:sz w:val="22"/>
          <w:szCs w:val="22"/>
        </w:rPr>
      </w:pPr>
    </w:p>
    <w:p w14:paraId="33E2F76D" w14:textId="77777777" w:rsidR="00481F16" w:rsidRDefault="00170EF2">
      <w:pPr>
        <w:widowControl w:val="0"/>
        <w:suppressAutoHyphens/>
        <w:autoSpaceDE w:val="0"/>
        <w:autoSpaceDN w:val="0"/>
        <w:adjustRightInd w:val="0"/>
        <w:spacing w:line="0" w:lineRule="atLeast"/>
        <w:ind w:firstLine="3"/>
        <w:rPr>
          <w:rFonts w:ascii="Calibri" w:eastAsia="Calibri" w:hAnsi="Calibri"/>
          <w:sz w:val="22"/>
          <w:szCs w:val="22"/>
        </w:rPr>
      </w:pPr>
      <w:r>
        <w:rPr>
          <w:rFonts w:ascii="Calibri" w:eastAsia="Calibri" w:hAnsi="Calibri"/>
          <w:b/>
          <w:sz w:val="22"/>
          <w:szCs w:val="22"/>
        </w:rPr>
        <w:t xml:space="preserve">VI. – </w:t>
      </w:r>
      <w:r w:rsidRPr="007446F5">
        <w:rPr>
          <w:rFonts w:ascii="Calibri" w:eastAsia="Calibri" w:hAnsi="Calibri"/>
          <w:sz w:val="22"/>
          <w:szCs w:val="22"/>
        </w:rPr>
        <w:t>Euskal Autonomia Erkidegoaren Estatutua onartzen duen abenduaren 18ko 3/1979 Lege Organikoaren 10.36 artikuluak Euskal Autonomia Erkidegoari esleitzen dio turismoaren arloko eskumen esklusiboa.</w:t>
      </w:r>
    </w:p>
    <w:p w14:paraId="253AEA37" w14:textId="77777777" w:rsidR="00481F16" w:rsidRDefault="00481F16">
      <w:pPr>
        <w:widowControl w:val="0"/>
        <w:suppressAutoHyphens/>
        <w:autoSpaceDE w:val="0"/>
        <w:autoSpaceDN w:val="0"/>
        <w:adjustRightInd w:val="0"/>
        <w:spacing w:line="0" w:lineRule="atLeast"/>
        <w:ind w:firstLine="3"/>
        <w:rPr>
          <w:rFonts w:ascii="Calibri" w:eastAsia="Calibri" w:hAnsi="Calibri"/>
          <w:sz w:val="22"/>
          <w:szCs w:val="22"/>
        </w:rPr>
      </w:pPr>
    </w:p>
    <w:p w14:paraId="6037FCBF" w14:textId="77777777" w:rsidR="00481F16" w:rsidRDefault="00170EF2">
      <w:pPr>
        <w:widowControl w:val="0"/>
        <w:suppressAutoHyphens/>
        <w:autoSpaceDE w:val="0"/>
        <w:autoSpaceDN w:val="0"/>
        <w:adjustRightInd w:val="0"/>
        <w:spacing w:line="0" w:lineRule="atLeast"/>
        <w:ind w:firstLine="3"/>
        <w:rPr>
          <w:rFonts w:ascii="Calibri" w:eastAsia="Calibri" w:hAnsi="Calibri"/>
          <w:sz w:val="22"/>
          <w:szCs w:val="22"/>
        </w:rPr>
      </w:pPr>
      <w:r>
        <w:rPr>
          <w:rFonts w:ascii="Calibri" w:eastAsia="Calibri" w:hAnsi="Calibri"/>
          <w:sz w:val="22"/>
          <w:szCs w:val="22"/>
        </w:rPr>
        <w:t>Lehendakariaren irailaren 6ko 13/2020 Dekretuak, Euskal Autonomia Erkidegoko Administrazio Orokorreko sailak sortu, ezabatu eta aldatzen dituenak eta horien egitekoak eta jardun-arloak finkatzen dituenak, 15. artikuluan ezartzen du Turismo, Merkataritza eta Kontsumo Sailari dagokiola, besteak beste, turismoaren arloa.</w:t>
      </w:r>
    </w:p>
    <w:p w14:paraId="5EE81123" w14:textId="77777777" w:rsidR="00481F16" w:rsidRDefault="00481F16">
      <w:pPr>
        <w:widowControl w:val="0"/>
        <w:suppressAutoHyphens/>
        <w:autoSpaceDE w:val="0"/>
        <w:autoSpaceDN w:val="0"/>
        <w:adjustRightInd w:val="0"/>
        <w:spacing w:line="0" w:lineRule="atLeast"/>
        <w:ind w:firstLine="3"/>
        <w:rPr>
          <w:rFonts w:ascii="Calibri" w:eastAsia="Calibri" w:hAnsi="Calibri"/>
          <w:sz w:val="22"/>
          <w:szCs w:val="22"/>
        </w:rPr>
      </w:pPr>
    </w:p>
    <w:p w14:paraId="07E65F2F" w14:textId="77777777" w:rsidR="00481F16" w:rsidRDefault="00170EF2">
      <w:pPr>
        <w:spacing w:line="0" w:lineRule="atLeast"/>
        <w:ind w:firstLine="3"/>
        <w:rPr>
          <w:rFonts w:ascii="Calibri" w:eastAsia="Calibri" w:hAnsi="Calibri"/>
          <w:dstrike/>
          <w:sz w:val="22"/>
          <w:szCs w:val="22"/>
        </w:rPr>
      </w:pPr>
      <w:r>
        <w:rPr>
          <w:rFonts w:ascii="Calibri" w:eastAsia="Calibri" w:hAnsi="Calibri"/>
          <w:sz w:val="22"/>
          <w:szCs w:val="22"/>
        </w:rPr>
        <w:t>Arau-ildo horretan, Turismo, Merkataritza eta Kontsumo Sailak Turismo, Merkataritza eta Kontsumo Sailaren egitura organikoa eta funtzionala ezartzen duen urtarrilaren 19ko 13/2021 Dekretuan esleitutako eskumenen esparruan jarduten du. Dekretu horren 1. artikuluak ezartzen duenez, irailaren 6ko 13/2020 Dekretuaren 15. artikulua garatuz, eta Euskal Autonomia Erkidegoko Administrazio Orokorrari dagozkion eskumenen barruan, Turismo, Merkataritza eta Kontsumo Sailak turismoari buruzko arloetan beteko ditu, besteak beste, bere eginkizunak.</w:t>
      </w:r>
    </w:p>
    <w:p w14:paraId="2BDE3E08" w14:textId="77777777" w:rsidR="00481F16" w:rsidRDefault="00481F16">
      <w:pPr>
        <w:spacing w:line="0" w:lineRule="atLeast"/>
        <w:ind w:firstLine="3"/>
        <w:rPr>
          <w:rFonts w:ascii="Calibri" w:eastAsia="Calibri" w:hAnsi="Calibri"/>
          <w:dstrike/>
          <w:sz w:val="22"/>
          <w:szCs w:val="22"/>
        </w:rPr>
      </w:pPr>
    </w:p>
    <w:p w14:paraId="07FE75FA" w14:textId="77777777" w:rsidR="00481F16" w:rsidRDefault="00170EF2">
      <w:pPr>
        <w:spacing w:line="0" w:lineRule="atLeast"/>
        <w:ind w:firstLine="3"/>
        <w:rPr>
          <w:rFonts w:ascii="Calibri" w:eastAsia="Calibri" w:hAnsi="Calibri"/>
          <w:sz w:val="22"/>
          <w:szCs w:val="22"/>
        </w:rPr>
      </w:pPr>
      <w:r>
        <w:rPr>
          <w:rFonts w:ascii="Calibri" w:eastAsia="Calibri" w:hAnsi="Calibri"/>
          <w:sz w:val="22"/>
          <w:szCs w:val="22"/>
        </w:rPr>
        <w:t>Turismoari buruzko uztailaren 28ko 13/2016 Legeak 4.4 artikuluan xedatzen duenez, turismoaren arloan helburu komunak lortzeko, Euskadiko Turismo Administrazioak lankidetza-hitzarmenak sinatu ahal izango ditu beste administrazio publiko, erakunde publiko, mankomunitate, partzuergo eta turismo-agentzia batzuekin.</w:t>
      </w:r>
    </w:p>
    <w:p w14:paraId="4800ACB8" w14:textId="77777777" w:rsidR="00481F16" w:rsidRDefault="00481F16">
      <w:pPr>
        <w:autoSpaceDE w:val="0"/>
        <w:autoSpaceDN w:val="0"/>
        <w:adjustRightInd w:val="0"/>
        <w:spacing w:line="0" w:lineRule="atLeast"/>
        <w:ind w:firstLine="3"/>
        <w:rPr>
          <w:rFonts w:ascii="Calibri" w:eastAsia="Calibri" w:hAnsi="Calibri"/>
          <w:sz w:val="22"/>
          <w:szCs w:val="22"/>
        </w:rPr>
      </w:pPr>
    </w:p>
    <w:p w14:paraId="5CEEF1D3" w14:textId="77777777" w:rsidR="00481F16" w:rsidRDefault="00170EF2">
      <w:pPr>
        <w:autoSpaceDE w:val="0"/>
        <w:autoSpaceDN w:val="0"/>
        <w:adjustRightInd w:val="0"/>
        <w:spacing w:line="0" w:lineRule="atLeast"/>
        <w:ind w:firstLine="3"/>
        <w:rPr>
          <w:rFonts w:ascii="Calibri" w:eastAsia="Calibri" w:hAnsi="Calibri"/>
          <w:sz w:val="22"/>
          <w:szCs w:val="22"/>
        </w:rPr>
      </w:pPr>
      <w:r>
        <w:rPr>
          <w:rFonts w:ascii="Calibri" w:eastAsia="Calibri" w:hAnsi="Calibri"/>
          <w:b/>
          <w:sz w:val="22"/>
          <w:szCs w:val="22"/>
        </w:rPr>
        <w:t xml:space="preserve">VII. – </w:t>
      </w:r>
      <w:r w:rsidRPr="007446F5">
        <w:rPr>
          <w:rFonts w:ascii="Calibri" w:eastAsia="Calibri" w:hAnsi="Calibri"/>
          <w:sz w:val="22"/>
          <w:szCs w:val="22"/>
        </w:rPr>
        <w:t>Hitzarmenak administrazio-izaera du, Sektore Publikoaren Araubide Juridikoaren urriaren 1eko 40/2015 Legearen (aurrerantzean, SPAJL) 47. artikuluan eta hurrengoetan lankidetza-hitzarmenetarako xedatutakoaren arabera.</w:t>
      </w:r>
    </w:p>
    <w:p w14:paraId="55C00378" w14:textId="77777777" w:rsidR="00481F16" w:rsidRDefault="00481F16">
      <w:pPr>
        <w:autoSpaceDE w:val="0"/>
        <w:autoSpaceDN w:val="0"/>
        <w:adjustRightInd w:val="0"/>
        <w:spacing w:line="0" w:lineRule="atLeast"/>
        <w:ind w:firstLine="3"/>
        <w:rPr>
          <w:rFonts w:ascii="Calibri" w:eastAsia="Calibri" w:hAnsi="Calibri"/>
          <w:sz w:val="22"/>
          <w:szCs w:val="22"/>
        </w:rPr>
      </w:pPr>
    </w:p>
    <w:p w14:paraId="4251E7F0" w14:textId="0686E5AC" w:rsidR="00481F16" w:rsidRDefault="00170EF2">
      <w:pPr>
        <w:autoSpaceDE w:val="0"/>
        <w:autoSpaceDN w:val="0"/>
        <w:adjustRightInd w:val="0"/>
        <w:spacing w:line="0" w:lineRule="atLeast"/>
        <w:ind w:firstLine="3"/>
        <w:rPr>
          <w:rFonts w:ascii="Calibri" w:eastAsia="Calibri" w:hAnsi="Calibri"/>
          <w:sz w:val="22"/>
          <w:szCs w:val="22"/>
        </w:rPr>
      </w:pPr>
      <w:proofErr w:type="spellStart"/>
      <w:r>
        <w:rPr>
          <w:rFonts w:ascii="Calibri" w:eastAsia="Calibri" w:hAnsi="Calibri"/>
          <w:sz w:val="22"/>
          <w:szCs w:val="22"/>
        </w:rPr>
        <w:t>SPAJLk</w:t>
      </w:r>
      <w:proofErr w:type="spellEnd"/>
      <w:r>
        <w:rPr>
          <w:rFonts w:ascii="Calibri" w:eastAsia="Calibri" w:hAnsi="Calibri"/>
          <w:sz w:val="22"/>
          <w:szCs w:val="22"/>
        </w:rPr>
        <w:t xml:space="preserve"> lehen xedapen gehigarrian xedatzen duenez, Euskal Autonomia Erkidegoan, bigarren artikuluan xedatutakoaren ondorioetarako, administrazio publikotzat joko dira foru-aldundiak eta haien mendeko edo haiei lotutako administrazio instituzionalak.</w:t>
      </w:r>
    </w:p>
    <w:p w14:paraId="5B3BB7C1" w14:textId="77777777" w:rsidR="00481F16" w:rsidRDefault="00481F16">
      <w:pPr>
        <w:autoSpaceDE w:val="0"/>
        <w:autoSpaceDN w:val="0"/>
        <w:adjustRightInd w:val="0"/>
        <w:spacing w:line="0" w:lineRule="atLeast"/>
        <w:ind w:firstLine="3"/>
        <w:rPr>
          <w:rFonts w:ascii="Calibri" w:eastAsia="Calibri" w:hAnsi="Calibri" w:cs="Helvetica-Narrow"/>
          <w:b/>
          <w:color w:val="538135"/>
        </w:rPr>
      </w:pPr>
    </w:p>
    <w:p w14:paraId="1D055197" w14:textId="77777777" w:rsidR="00481F16" w:rsidRDefault="00170EF2">
      <w:pPr>
        <w:autoSpaceDE w:val="0"/>
        <w:autoSpaceDN w:val="0"/>
        <w:adjustRightInd w:val="0"/>
        <w:spacing w:line="0" w:lineRule="atLeast"/>
        <w:ind w:firstLine="3"/>
        <w:rPr>
          <w:rFonts w:ascii="Helvetica-Narrow" w:eastAsia="Calibri" w:hAnsi="Helvetica-Narrow" w:cs="Helvetica-Narrow"/>
          <w:b/>
          <w:sz w:val="23"/>
          <w:szCs w:val="23"/>
        </w:rPr>
      </w:pPr>
      <w:proofErr w:type="spellStart"/>
      <w:r>
        <w:rPr>
          <w:rFonts w:ascii="Calibri" w:eastAsia="Calibri" w:hAnsi="Calibri"/>
          <w:sz w:val="22"/>
          <w:szCs w:val="22"/>
        </w:rPr>
        <w:t>SPAJLren</w:t>
      </w:r>
      <w:proofErr w:type="spellEnd"/>
      <w:r>
        <w:rPr>
          <w:rFonts w:ascii="Calibri" w:eastAsia="Calibri" w:hAnsi="Calibri"/>
          <w:sz w:val="22"/>
          <w:szCs w:val="22"/>
        </w:rPr>
        <w:t xml:space="preserve"> 3. artikuluak lankidetza-printzipioa jasotzen du administrazio publikoen jardunaren printzipio orokor gisa, eta legeak berak garatzen du III. tituluan, administrazioen arteko harremanei buruzkoan. Hala, 140.1 artikuluak, d) letran, lankidetza-printzipioa jasotzen du, baldin eta bi administrazio publikok edo gehiagok, beren borondatez eta beren eskumenak baliatuz, ekintza komun baten aldeko konpromiso espezifikoak hartzen badituzte. III. titulu horretan bertan, 144. artikuluak beste administrazio publiko batzuen baliabide materialak, ekonomikoak edo giza baliabideak ematea jasotzen du 1.d) atalean aurreikusitako lankidetza-tekniken artean.</w:t>
      </w:r>
    </w:p>
    <w:p w14:paraId="7017C599" w14:textId="77777777" w:rsidR="00481F16" w:rsidRDefault="00481F16">
      <w:pPr>
        <w:autoSpaceDE w:val="0"/>
        <w:autoSpaceDN w:val="0"/>
        <w:adjustRightInd w:val="0"/>
        <w:spacing w:line="0" w:lineRule="atLeast"/>
        <w:ind w:firstLine="3"/>
        <w:rPr>
          <w:rFonts w:ascii="Helvetica-Narrow" w:eastAsia="Calibri" w:hAnsi="Helvetica-Narrow" w:cs="Helvetica-Narrow"/>
          <w:b/>
          <w:sz w:val="23"/>
          <w:szCs w:val="23"/>
        </w:rPr>
      </w:pPr>
    </w:p>
    <w:p w14:paraId="26BE25B1" w14:textId="27B2AF91" w:rsidR="00481F16" w:rsidRPr="007446F5" w:rsidRDefault="00170EF2">
      <w:pPr>
        <w:spacing w:line="240" w:lineRule="atLeast"/>
        <w:ind w:firstLine="3"/>
        <w:rPr>
          <w:rFonts w:ascii="Calibri" w:eastAsia="Calibri" w:hAnsi="Calibri"/>
          <w:dstrike/>
          <w:sz w:val="22"/>
          <w:szCs w:val="22"/>
        </w:rPr>
      </w:pPr>
      <w:r>
        <w:rPr>
          <w:rFonts w:ascii="Calibri" w:eastAsia="Calibri" w:hAnsi="Calibri"/>
          <w:b/>
          <w:sz w:val="22"/>
          <w:szCs w:val="22"/>
        </w:rPr>
        <w:t xml:space="preserve">VIII </w:t>
      </w:r>
      <w:r w:rsidRPr="007446F5">
        <w:rPr>
          <w:rFonts w:ascii="Calibri" w:eastAsia="Calibri" w:hAnsi="Calibri"/>
          <w:sz w:val="22"/>
          <w:szCs w:val="22"/>
        </w:rPr>
        <w:t>.</w:t>
      </w:r>
      <w:r w:rsidR="007446F5">
        <w:rPr>
          <w:rFonts w:ascii="Calibri" w:eastAsia="Calibri" w:hAnsi="Calibri"/>
          <w:b/>
          <w:sz w:val="22"/>
          <w:szCs w:val="22"/>
        </w:rPr>
        <w:t>-</w:t>
      </w:r>
      <w:r w:rsidRPr="007446F5">
        <w:rPr>
          <w:rFonts w:ascii="Calibri" w:eastAsia="Calibri" w:hAnsi="Calibri"/>
          <w:sz w:val="22"/>
          <w:szCs w:val="22"/>
        </w:rPr>
        <w:t xml:space="preserve"> Azaldutako arrazoiekin bat etorriz, bidezkoa da hitzarmen honen bidez Euskal Autonomia Erkidegoko Ogasun Nagusiaren </w:t>
      </w:r>
      <w:proofErr w:type="spellStart"/>
      <w:r w:rsidRPr="007446F5">
        <w:rPr>
          <w:rFonts w:ascii="Calibri" w:eastAsia="Calibri" w:hAnsi="Calibri"/>
          <w:sz w:val="22"/>
          <w:szCs w:val="22"/>
        </w:rPr>
        <w:t>Antolarauei</w:t>
      </w:r>
      <w:proofErr w:type="spellEnd"/>
      <w:r w:rsidRPr="007446F5">
        <w:rPr>
          <w:rFonts w:ascii="Calibri" w:eastAsia="Calibri" w:hAnsi="Calibri"/>
          <w:sz w:val="22"/>
          <w:szCs w:val="22"/>
        </w:rPr>
        <w:t xml:space="preserve"> buruzko Legearen Testu </w:t>
      </w:r>
      <w:proofErr w:type="spellStart"/>
      <w:r w:rsidRPr="007446F5">
        <w:rPr>
          <w:rFonts w:ascii="Calibri" w:eastAsia="Calibri" w:hAnsi="Calibri"/>
          <w:sz w:val="22"/>
          <w:szCs w:val="22"/>
        </w:rPr>
        <w:t>Bateginaren</w:t>
      </w:r>
      <w:proofErr w:type="spellEnd"/>
      <w:r w:rsidRPr="007446F5">
        <w:rPr>
          <w:rFonts w:ascii="Calibri" w:eastAsia="Calibri" w:hAnsi="Calibri"/>
          <w:sz w:val="22"/>
          <w:szCs w:val="22"/>
        </w:rPr>
        <w:t xml:space="preserve"> 49.7 artikuluak eskainitako </w:t>
      </w:r>
      <w:r w:rsidRPr="007446F5">
        <w:rPr>
          <w:rFonts w:ascii="Calibri" w:eastAsia="Calibri" w:hAnsi="Calibri"/>
          <w:sz w:val="22"/>
          <w:szCs w:val="22"/>
        </w:rPr>
        <w:lastRenderedPageBreak/>
        <w:t xml:space="preserve">salbuespenezko bidea erabiltzea (azaroaren 11ko 1/1997 Legegintzako Dekretuak onartu zuen testu </w:t>
      </w:r>
      <w:proofErr w:type="spellStart"/>
      <w:r w:rsidRPr="007446F5">
        <w:rPr>
          <w:rFonts w:ascii="Calibri" w:eastAsia="Calibri" w:hAnsi="Calibri"/>
          <w:sz w:val="22"/>
          <w:szCs w:val="22"/>
        </w:rPr>
        <w:t>bategin</w:t>
      </w:r>
      <w:proofErr w:type="spellEnd"/>
      <w:r w:rsidRPr="007446F5">
        <w:rPr>
          <w:rFonts w:ascii="Calibri" w:eastAsia="Calibri" w:hAnsi="Calibri"/>
          <w:sz w:val="22"/>
          <w:szCs w:val="22"/>
        </w:rPr>
        <w:t xml:space="preserve"> hori). Artikulu horrek aukera ematen du laguntzak zuzenean emateko, interes publikoko, sozialeko, ekonomikoko edo humanitarioko arrazoiak daudenean, kasu honetan gertatzen den bezala.</w:t>
      </w:r>
    </w:p>
    <w:p w14:paraId="67B8B603" w14:textId="77777777" w:rsidR="00481F16" w:rsidRDefault="00481F16">
      <w:pPr>
        <w:spacing w:line="240" w:lineRule="atLeast"/>
        <w:ind w:firstLine="3"/>
        <w:rPr>
          <w:rFonts w:ascii="Calibri" w:eastAsia="Calibri" w:hAnsi="Calibri"/>
          <w:sz w:val="22"/>
          <w:szCs w:val="22"/>
        </w:rPr>
      </w:pPr>
    </w:p>
    <w:p w14:paraId="342B9291" w14:textId="77777777" w:rsidR="00481F16" w:rsidRDefault="00170EF2">
      <w:pPr>
        <w:spacing w:line="240" w:lineRule="atLeast"/>
        <w:ind w:firstLine="3"/>
        <w:rPr>
          <w:rFonts w:ascii="Calibri" w:eastAsia="Calibri" w:hAnsi="Calibri"/>
          <w:dstrike/>
          <w:sz w:val="22"/>
          <w:szCs w:val="22"/>
        </w:rPr>
      </w:pPr>
      <w:r>
        <w:rPr>
          <w:rFonts w:ascii="Calibri" w:eastAsia="Calibri" w:hAnsi="Calibri"/>
          <w:sz w:val="22"/>
          <w:szCs w:val="22"/>
        </w:rPr>
        <w:t>Aparteko ekimen honen baitako jarduerek agerian uzten dute interes publikoko arrazoi nabarmenak daudela, egoera ahulean dauden eskualdetzat edo lehentasunezko arreta-eremutzat jotako eskualdeei bultzada emateko, hala nola Aiaraldea eskualdeari, eta trakzio-proiektuak bultzatzeko, presaz jardun ere, suspertzen laguntzeko eta, ondorioz, Euskal Autonomia Erkidegoaren eremuan turismo-sektorea suspertzeko.</w:t>
      </w:r>
    </w:p>
    <w:p w14:paraId="06A299B9" w14:textId="77777777" w:rsidR="00481F16" w:rsidRDefault="00481F16">
      <w:pPr>
        <w:spacing w:line="240" w:lineRule="atLeast"/>
        <w:ind w:firstLine="3"/>
        <w:rPr>
          <w:rFonts w:ascii="Calibri" w:eastAsia="Calibri" w:hAnsi="Calibri"/>
          <w:dstrike/>
          <w:sz w:val="22"/>
          <w:szCs w:val="22"/>
        </w:rPr>
      </w:pPr>
    </w:p>
    <w:p w14:paraId="26F007E7" w14:textId="77777777" w:rsidR="00481F16" w:rsidRDefault="00170EF2">
      <w:pPr>
        <w:spacing w:line="240" w:lineRule="atLeast"/>
        <w:ind w:firstLine="3"/>
        <w:rPr>
          <w:rFonts w:ascii="Calibri" w:eastAsia="Calibri" w:hAnsi="Calibri"/>
          <w:dstrike/>
          <w:sz w:val="22"/>
          <w:szCs w:val="22"/>
        </w:rPr>
      </w:pPr>
      <w:r>
        <w:rPr>
          <w:rFonts w:ascii="Calibri" w:eastAsia="Calibri" w:hAnsi="Calibri"/>
          <w:sz w:val="22"/>
          <w:szCs w:val="22"/>
        </w:rPr>
        <w:t>Jarduketa horrek administrazioen arteko lankidetza eraginkorrean oinarritutako formulak ezartzea eskatzen du – horregatik bideratzen da lankidetza-hitzarmen bidez –, eta, gainera, kasu honetan, bi alderdien intereseko jarduerak biltzen dira, xede eta helburu berdinak lortzeko. Horrek agerian uzten du ezin dela deialdira joan xedapen orokor baten bidez.</w:t>
      </w:r>
    </w:p>
    <w:p w14:paraId="616BFD83" w14:textId="77777777" w:rsidR="00481F16" w:rsidRDefault="00481F16">
      <w:pPr>
        <w:spacing w:line="240" w:lineRule="atLeast"/>
        <w:ind w:firstLine="3"/>
        <w:rPr>
          <w:rFonts w:ascii="Calibri" w:eastAsia="Calibri" w:hAnsi="Calibri"/>
          <w:dstrike/>
          <w:sz w:val="22"/>
          <w:szCs w:val="22"/>
        </w:rPr>
      </w:pPr>
    </w:p>
    <w:p w14:paraId="06E96734" w14:textId="77777777" w:rsidR="00481F16" w:rsidRDefault="00170EF2">
      <w:pPr>
        <w:spacing w:line="240" w:lineRule="atLeast"/>
        <w:ind w:firstLine="3"/>
        <w:rPr>
          <w:rFonts w:ascii="Calibri" w:eastAsia="Calibri" w:hAnsi="Calibri"/>
          <w:sz w:val="22"/>
          <w:szCs w:val="22"/>
        </w:rPr>
      </w:pPr>
      <w:r>
        <w:rPr>
          <w:rFonts w:ascii="Calibri" w:eastAsia="Calibri" w:hAnsi="Calibri"/>
          <w:sz w:val="22"/>
          <w:szCs w:val="22"/>
        </w:rPr>
        <w:t>Proiektuaren espezifikotasunak eta zuzkidura espezifikoa eta apartekoa izateak ezabatu egiten du laguntza sailaren dirulaguntzen programa batean sartzeko aukera, eta ezin da deitu xedapen orokor edo dirulaguntza izendun baten bidez, laguntza horiek inbertsiorako aparteko aurrekontu-programa batetik baitatoz, zeina 2020ko maiatzaren 18ko Gobernu Kontseiluak onartu baitzuen.</w:t>
      </w:r>
    </w:p>
    <w:p w14:paraId="4328FCD9" w14:textId="77777777" w:rsidR="00481F16" w:rsidRDefault="00481F16">
      <w:pPr>
        <w:spacing w:line="240" w:lineRule="atLeast"/>
        <w:ind w:firstLine="3"/>
        <w:rPr>
          <w:rFonts w:ascii="Calibri" w:eastAsia="Calibri" w:hAnsi="Calibri"/>
          <w:sz w:val="22"/>
          <w:szCs w:val="22"/>
        </w:rPr>
      </w:pPr>
    </w:p>
    <w:p w14:paraId="1678EB33" w14:textId="77777777" w:rsidR="00481F16" w:rsidRDefault="00170EF2">
      <w:pPr>
        <w:spacing w:after="160" w:line="259" w:lineRule="auto"/>
        <w:ind w:firstLine="3"/>
        <w:rPr>
          <w:rFonts w:ascii="Calibri" w:eastAsia="Calibri" w:hAnsi="Calibri"/>
          <w:sz w:val="22"/>
          <w:szCs w:val="22"/>
        </w:rPr>
      </w:pPr>
      <w:r>
        <w:rPr>
          <w:rFonts w:ascii="Calibri" w:eastAsia="Calibri" w:hAnsi="Calibri"/>
          <w:sz w:val="22"/>
          <w:szCs w:val="22"/>
        </w:rPr>
        <w:t>Bi alderdiek, jarduketen helburua kontuan hartuta, hau da, Aiaraldeko berehalako jarduketa-planean jasotako jardueren barruan aktibo turistikoak hobetzea, erabaki dute administrazioen arteko hitzarmen hau egitea, Sektore Publikoaren Araubide Juridikoaren urriaren 1eko 40/2015 Legearen 47.2.a) artikuluan xedatutakoaren arabera. Azaldutako guztia kontuan hartuta, alderdiek hitzarmen hau sinatu dute, honako klausula hauen arabera:</w:t>
      </w:r>
    </w:p>
    <w:p w14:paraId="37E3B940" w14:textId="77777777" w:rsidR="00481F16" w:rsidRDefault="00481F16">
      <w:pPr>
        <w:spacing w:after="160" w:line="259" w:lineRule="auto"/>
        <w:ind w:left="2124" w:hanging="2124"/>
        <w:rPr>
          <w:rFonts w:ascii="Calibri" w:eastAsia="Calibri" w:hAnsi="Calibri" w:cs="Tahoma"/>
          <w:b/>
          <w:color w:val="538135"/>
          <w:szCs w:val="22"/>
        </w:rPr>
      </w:pPr>
    </w:p>
    <w:p w14:paraId="3646AF28" w14:textId="77777777" w:rsidR="00481F16" w:rsidRDefault="00170EF2">
      <w:pPr>
        <w:spacing w:after="160" w:line="259" w:lineRule="auto"/>
        <w:ind w:left="2124" w:hanging="2124"/>
        <w:jc w:val="center"/>
        <w:rPr>
          <w:rFonts w:ascii="Calibri" w:eastAsia="Calibri" w:hAnsi="Calibri"/>
          <w:b/>
          <w:sz w:val="22"/>
          <w:szCs w:val="22"/>
        </w:rPr>
      </w:pPr>
      <w:r>
        <w:rPr>
          <w:rFonts w:ascii="Calibri" w:eastAsia="Calibri" w:hAnsi="Calibri"/>
          <w:b/>
          <w:sz w:val="22"/>
          <w:szCs w:val="22"/>
        </w:rPr>
        <w:t>KLAUSULAK</w:t>
      </w:r>
    </w:p>
    <w:p w14:paraId="50BA6261" w14:textId="2033A9C5" w:rsidR="00481F16" w:rsidRDefault="00170EF2">
      <w:pPr>
        <w:spacing w:after="160" w:line="259" w:lineRule="auto"/>
        <w:ind w:left="2124" w:hanging="2124"/>
        <w:rPr>
          <w:rFonts w:ascii="Calibri" w:eastAsia="Calibri" w:hAnsi="Calibri"/>
          <w:sz w:val="22"/>
          <w:szCs w:val="22"/>
        </w:rPr>
      </w:pPr>
      <w:r>
        <w:rPr>
          <w:rFonts w:ascii="Calibri" w:eastAsia="Calibri" w:hAnsi="Calibri"/>
          <w:b/>
          <w:sz w:val="22"/>
          <w:szCs w:val="22"/>
        </w:rPr>
        <w:t>Lehenengoa. – Xedea.</w:t>
      </w:r>
    </w:p>
    <w:p w14:paraId="195CFCB5"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Hitzarmen honen xedea da lankidetza-oinarriak eta aldeen konpromisoak ezartzea, Aiaraldeko berehalako jarduera-planean jasotako turismo-zerbitzuen eskaintza integratua garatzeko proiektua gauzatuko dela bermatzeko, akordio hau sinatzen duten administrazioen ekintza koordinatuaren bidez, honako helburu hau lortzeko:</w:t>
      </w:r>
    </w:p>
    <w:p w14:paraId="1F575A96" w14:textId="77777777" w:rsidR="00481F16" w:rsidRDefault="00170EF2">
      <w:pPr>
        <w:spacing w:after="160" w:line="259" w:lineRule="auto"/>
        <w:rPr>
          <w:rFonts w:ascii="Calibri" w:eastAsia="Calibri" w:hAnsi="Calibri"/>
          <w:b/>
          <w:sz w:val="22"/>
          <w:szCs w:val="22"/>
        </w:rPr>
      </w:pPr>
      <w:r>
        <w:rPr>
          <w:rFonts w:ascii="Calibri" w:eastAsia="Calibri" w:hAnsi="Calibri"/>
          <w:b/>
          <w:sz w:val="22"/>
          <w:szCs w:val="22"/>
        </w:rPr>
        <w:t>Jarduketa integrala baliabide turistikoei balioa emateko, eta Aiaraldeko turismo jasangarriaren eskaintza antolatzeko plan bat egitea, turismora bideratutako ekitaldi bereziak zehaztuko dituena.</w:t>
      </w:r>
    </w:p>
    <w:p w14:paraId="753AF41F" w14:textId="0F5CCCB5" w:rsidR="00481F16" w:rsidRDefault="00170EF2">
      <w:pPr>
        <w:spacing w:after="160" w:line="259" w:lineRule="auto"/>
        <w:ind w:left="2124" w:hanging="2124"/>
        <w:rPr>
          <w:rFonts w:ascii="Calibri" w:eastAsia="Calibri" w:hAnsi="Calibri"/>
          <w:b/>
          <w:sz w:val="22"/>
          <w:szCs w:val="22"/>
        </w:rPr>
      </w:pPr>
      <w:r>
        <w:rPr>
          <w:rFonts w:ascii="Calibri" w:eastAsia="Calibri" w:hAnsi="Calibri"/>
          <w:b/>
          <w:sz w:val="22"/>
          <w:szCs w:val="22"/>
        </w:rPr>
        <w:t>Bigarrena.- Hitzarmenaren xede diren jarduketak.</w:t>
      </w:r>
    </w:p>
    <w:p w14:paraId="71B43BF9"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Hitzarmen honen xede dira Aiaraldeko berehalako ekintza-planean jasotako turismo-zerbitzuen eskaintza integratua garatzeko proiektua aplikatuz garatzen diren jarduketak, eskualde kaltetuei edo lehentasunezko jarduketa-eremuei dagokienez, zehazki:</w:t>
      </w:r>
    </w:p>
    <w:p w14:paraId="2A6DC342" w14:textId="77777777" w:rsidR="00481F16" w:rsidRDefault="00170EF2">
      <w:pPr>
        <w:numPr>
          <w:ilvl w:val="0"/>
          <w:numId w:val="38"/>
        </w:numPr>
        <w:spacing w:after="160" w:line="259" w:lineRule="auto"/>
        <w:ind w:left="851" w:hanging="567"/>
        <w:contextualSpacing/>
        <w:jc w:val="left"/>
        <w:rPr>
          <w:rFonts w:ascii="Calibri" w:eastAsia="Calibri" w:hAnsi="Calibri"/>
          <w:b/>
          <w:sz w:val="22"/>
          <w:szCs w:val="22"/>
          <w:u w:val="single"/>
        </w:rPr>
      </w:pPr>
      <w:r>
        <w:rPr>
          <w:rFonts w:ascii="Calibri" w:eastAsia="Calibri" w:hAnsi="Calibri"/>
          <w:b/>
          <w:sz w:val="22"/>
          <w:szCs w:val="22"/>
          <w:u w:val="single"/>
        </w:rPr>
        <w:t xml:space="preserve">Turismo-sektorearen sustapena: </w:t>
      </w:r>
      <w:r w:rsidRPr="00170EF2">
        <w:rPr>
          <w:rFonts w:ascii="Calibri" w:eastAsia="Calibri" w:hAnsi="Calibri"/>
          <w:sz w:val="22"/>
          <w:szCs w:val="22"/>
        </w:rPr>
        <w:t>eskualdeko askotariko publizitate-ekintzak.</w:t>
      </w:r>
    </w:p>
    <w:p w14:paraId="4FE881EF" w14:textId="77777777" w:rsidR="00481F16" w:rsidRDefault="00170EF2">
      <w:pPr>
        <w:numPr>
          <w:ilvl w:val="0"/>
          <w:numId w:val="38"/>
        </w:numPr>
        <w:spacing w:after="160" w:line="259" w:lineRule="auto"/>
        <w:ind w:left="851" w:hanging="567"/>
        <w:contextualSpacing/>
        <w:jc w:val="left"/>
        <w:rPr>
          <w:rFonts w:ascii="Calibri" w:eastAsia="Calibri" w:hAnsi="Calibri"/>
          <w:sz w:val="22"/>
          <w:szCs w:val="22"/>
        </w:rPr>
      </w:pPr>
      <w:r>
        <w:rPr>
          <w:rFonts w:ascii="Calibri" w:eastAsia="Calibri" w:hAnsi="Calibri"/>
          <w:b/>
          <w:sz w:val="22"/>
          <w:szCs w:val="22"/>
          <w:u w:val="single"/>
        </w:rPr>
        <w:t xml:space="preserve">Txakolinaren ibilbidea: </w:t>
      </w:r>
      <w:r w:rsidRPr="00170EF2">
        <w:rPr>
          <w:rFonts w:ascii="Calibri" w:eastAsia="Calibri" w:hAnsi="Calibri"/>
          <w:sz w:val="22"/>
          <w:szCs w:val="22"/>
        </w:rPr>
        <w:t>Ibilbidea sortzeko, hedatzeko eta turismorako kokatzeko jarduerak, bai eta produktuari lotutako jarduerak sortzea ere.</w:t>
      </w:r>
    </w:p>
    <w:p w14:paraId="25CD8831" w14:textId="77777777" w:rsidR="00481F16" w:rsidRDefault="00170EF2">
      <w:pPr>
        <w:numPr>
          <w:ilvl w:val="0"/>
          <w:numId w:val="38"/>
        </w:numPr>
        <w:spacing w:after="160" w:line="259" w:lineRule="auto"/>
        <w:ind w:left="851" w:hanging="567"/>
        <w:contextualSpacing/>
        <w:jc w:val="left"/>
        <w:rPr>
          <w:rFonts w:ascii="Calibri" w:eastAsia="Calibri" w:hAnsi="Calibri"/>
          <w:sz w:val="22"/>
          <w:szCs w:val="22"/>
        </w:rPr>
      </w:pPr>
      <w:r>
        <w:rPr>
          <w:rFonts w:ascii="Calibri" w:eastAsia="Calibri" w:hAnsi="Calibri"/>
          <w:b/>
          <w:sz w:val="22"/>
          <w:szCs w:val="22"/>
          <w:u w:val="single"/>
        </w:rPr>
        <w:t xml:space="preserve">Artisau-ibilbide gastronomikoa: </w:t>
      </w:r>
      <w:r w:rsidRPr="00170EF2">
        <w:rPr>
          <w:rFonts w:ascii="Calibri" w:eastAsia="Calibri" w:hAnsi="Calibri"/>
          <w:sz w:val="22"/>
          <w:szCs w:val="22"/>
        </w:rPr>
        <w:t xml:space="preserve">eskualdeko gaztari eta bertako beste produktu batzuei (txorizoak, </w:t>
      </w:r>
      <w:proofErr w:type="spellStart"/>
      <w:r w:rsidRPr="00170EF2">
        <w:rPr>
          <w:rFonts w:ascii="Calibri" w:eastAsia="Calibri" w:hAnsi="Calibri"/>
          <w:sz w:val="22"/>
          <w:szCs w:val="22"/>
        </w:rPr>
        <w:t>mortzilla</w:t>
      </w:r>
      <w:proofErr w:type="spellEnd"/>
      <w:r w:rsidRPr="00170EF2">
        <w:rPr>
          <w:rFonts w:ascii="Calibri" w:eastAsia="Calibri" w:hAnsi="Calibri"/>
          <w:sz w:val="22"/>
          <w:szCs w:val="22"/>
        </w:rPr>
        <w:t xml:space="preserve">, perretxikoak, boilurrak, </w:t>
      </w:r>
      <w:proofErr w:type="spellStart"/>
      <w:r w:rsidRPr="00170EF2">
        <w:rPr>
          <w:rFonts w:ascii="Calibri" w:eastAsia="Calibri" w:hAnsi="Calibri"/>
          <w:sz w:val="22"/>
          <w:szCs w:val="22"/>
        </w:rPr>
        <w:t>destilategiak</w:t>
      </w:r>
      <w:proofErr w:type="spellEnd"/>
      <w:r w:rsidRPr="00170EF2">
        <w:rPr>
          <w:rFonts w:ascii="Calibri" w:eastAsia="Calibri" w:hAnsi="Calibri"/>
          <w:sz w:val="22"/>
          <w:szCs w:val="22"/>
        </w:rPr>
        <w:t>) balioa emango dien eskaintza</w:t>
      </w:r>
      <w:r>
        <w:rPr>
          <w:rFonts w:ascii="Calibri" w:eastAsia="Calibri" w:hAnsi="Calibri"/>
          <w:b/>
          <w:sz w:val="22"/>
          <w:szCs w:val="22"/>
          <w:u w:val="single"/>
        </w:rPr>
        <w:t xml:space="preserve"> </w:t>
      </w:r>
      <w:r w:rsidRPr="00170EF2">
        <w:rPr>
          <w:rFonts w:ascii="Calibri" w:eastAsia="Calibri" w:hAnsi="Calibri"/>
          <w:sz w:val="22"/>
          <w:szCs w:val="22"/>
        </w:rPr>
        <w:t>turistikoa artikulatzea, eta eskualdeko turismo gastronomikoko produktu-klub bat garatzearen bideragarritasuna aztertzea.</w:t>
      </w:r>
    </w:p>
    <w:p w14:paraId="58EE7586" w14:textId="77777777" w:rsidR="00481F16" w:rsidRDefault="00170EF2">
      <w:pPr>
        <w:numPr>
          <w:ilvl w:val="0"/>
          <w:numId w:val="38"/>
        </w:numPr>
        <w:spacing w:after="160" w:line="259" w:lineRule="auto"/>
        <w:ind w:left="851" w:hanging="567"/>
        <w:contextualSpacing/>
        <w:jc w:val="left"/>
        <w:rPr>
          <w:rFonts w:ascii="Calibri" w:eastAsia="Calibri" w:hAnsi="Calibri"/>
          <w:sz w:val="22"/>
          <w:szCs w:val="22"/>
        </w:rPr>
      </w:pPr>
      <w:r>
        <w:rPr>
          <w:rFonts w:ascii="Calibri" w:eastAsia="Calibri" w:hAnsi="Calibri"/>
          <w:b/>
          <w:sz w:val="22"/>
          <w:szCs w:val="22"/>
          <w:u w:val="single"/>
        </w:rPr>
        <w:lastRenderedPageBreak/>
        <w:t xml:space="preserve">Museoen sarea: </w:t>
      </w:r>
      <w:r w:rsidRPr="00170EF2">
        <w:rPr>
          <w:rFonts w:ascii="Calibri" w:eastAsia="Calibri" w:hAnsi="Calibri"/>
          <w:sz w:val="22"/>
          <w:szCs w:val="22"/>
        </w:rPr>
        <w:t>eskualdeko kultur eskaintza bultzatu eta parte har dezaketen zentroen arteko loturak estutzeko helburua. Museo etnologikoen sare indartsua dagoenez, jardunaldi tematikoak antolatu nahi dira.</w:t>
      </w:r>
    </w:p>
    <w:p w14:paraId="4F1F7896" w14:textId="77777777" w:rsidR="00481F16" w:rsidRDefault="00170EF2">
      <w:pPr>
        <w:numPr>
          <w:ilvl w:val="0"/>
          <w:numId w:val="38"/>
        </w:numPr>
        <w:spacing w:after="160" w:line="259" w:lineRule="auto"/>
        <w:ind w:left="851" w:hanging="567"/>
        <w:contextualSpacing/>
        <w:jc w:val="left"/>
        <w:rPr>
          <w:rFonts w:ascii="Calibri" w:eastAsia="Calibri" w:hAnsi="Calibri"/>
          <w:b/>
          <w:sz w:val="22"/>
          <w:szCs w:val="22"/>
          <w:u w:val="single"/>
        </w:rPr>
      </w:pPr>
      <w:r>
        <w:rPr>
          <w:rFonts w:ascii="Calibri" w:eastAsia="Calibri" w:hAnsi="Calibri"/>
          <w:b/>
          <w:sz w:val="22"/>
          <w:szCs w:val="22"/>
          <w:u w:val="single"/>
        </w:rPr>
        <w:t xml:space="preserve">Dorretxeen ibilbidea: </w:t>
      </w:r>
      <w:r w:rsidRPr="00170EF2">
        <w:rPr>
          <w:rFonts w:ascii="Calibri" w:eastAsia="Calibri" w:hAnsi="Calibri"/>
          <w:sz w:val="22"/>
          <w:szCs w:val="22"/>
        </w:rPr>
        <w:t>diseinua eta inbentarioa egitea, ibilbidea konfiguratzeko, lehenetsiz eta hautatuz, garrantzitsuenei balioa emateko.</w:t>
      </w:r>
    </w:p>
    <w:p w14:paraId="0561E358" w14:textId="77777777" w:rsidR="00481F16" w:rsidRPr="00170EF2" w:rsidRDefault="00170EF2">
      <w:pPr>
        <w:numPr>
          <w:ilvl w:val="0"/>
          <w:numId w:val="38"/>
        </w:numPr>
        <w:spacing w:after="160" w:line="259" w:lineRule="auto"/>
        <w:ind w:left="851" w:hanging="567"/>
        <w:contextualSpacing/>
        <w:jc w:val="left"/>
        <w:rPr>
          <w:rFonts w:ascii="Calibri" w:eastAsia="Calibri" w:hAnsi="Calibri"/>
          <w:sz w:val="22"/>
          <w:szCs w:val="22"/>
        </w:rPr>
      </w:pPr>
      <w:r>
        <w:rPr>
          <w:rFonts w:ascii="Calibri" w:eastAsia="Calibri" w:hAnsi="Calibri"/>
          <w:b/>
          <w:sz w:val="22"/>
          <w:szCs w:val="22"/>
          <w:u w:val="single"/>
        </w:rPr>
        <w:t xml:space="preserve">Kexaako monumentu-multzoko elementu publikoetako jarduketak: </w:t>
      </w:r>
      <w:r w:rsidRPr="00170EF2">
        <w:rPr>
          <w:rFonts w:ascii="Calibri" w:eastAsia="Calibri" w:hAnsi="Calibri"/>
          <w:sz w:val="22"/>
          <w:szCs w:val="22"/>
        </w:rPr>
        <w:t>multzoaren espazio publikoetan erabilera turistikorako esku hartzeko jarduketak.</w:t>
      </w:r>
    </w:p>
    <w:p w14:paraId="175B5A13" w14:textId="77777777" w:rsidR="00481F16" w:rsidRPr="00170EF2" w:rsidRDefault="00170EF2">
      <w:pPr>
        <w:numPr>
          <w:ilvl w:val="0"/>
          <w:numId w:val="38"/>
        </w:numPr>
        <w:spacing w:after="160" w:line="259" w:lineRule="auto"/>
        <w:ind w:left="851" w:hanging="567"/>
        <w:contextualSpacing/>
        <w:jc w:val="left"/>
        <w:rPr>
          <w:rFonts w:ascii="Calibri" w:eastAsia="Calibri" w:hAnsi="Calibri"/>
          <w:sz w:val="22"/>
          <w:szCs w:val="22"/>
        </w:rPr>
      </w:pPr>
      <w:r>
        <w:rPr>
          <w:rFonts w:ascii="Calibri" w:eastAsia="Calibri" w:hAnsi="Calibri"/>
          <w:b/>
          <w:sz w:val="22"/>
          <w:szCs w:val="22"/>
          <w:u w:val="single"/>
        </w:rPr>
        <w:t xml:space="preserve">Ekitaldi bereziak: </w:t>
      </w:r>
      <w:r w:rsidRPr="00170EF2">
        <w:rPr>
          <w:rFonts w:ascii="Calibri" w:eastAsia="Calibri" w:hAnsi="Calibri"/>
          <w:sz w:val="22"/>
          <w:szCs w:val="22"/>
        </w:rPr>
        <w:t>jarduketekin lotutako ekitaldi bereziak egitea.</w:t>
      </w:r>
    </w:p>
    <w:p w14:paraId="2C02A8EE" w14:textId="7A14253A" w:rsidR="00481F16" w:rsidRDefault="00170EF2">
      <w:pPr>
        <w:numPr>
          <w:ilvl w:val="0"/>
          <w:numId w:val="38"/>
        </w:numPr>
        <w:spacing w:after="160" w:line="259" w:lineRule="auto"/>
        <w:ind w:left="851" w:hanging="567"/>
        <w:contextualSpacing/>
        <w:jc w:val="left"/>
        <w:rPr>
          <w:rFonts w:ascii="Calibri" w:eastAsia="Calibri" w:hAnsi="Calibri"/>
          <w:sz w:val="22"/>
          <w:szCs w:val="22"/>
        </w:rPr>
      </w:pPr>
      <w:r>
        <w:rPr>
          <w:rFonts w:ascii="Calibri" w:eastAsia="Calibri" w:hAnsi="Calibri"/>
          <w:b/>
          <w:sz w:val="22"/>
          <w:szCs w:val="22"/>
          <w:u w:val="single"/>
        </w:rPr>
        <w:t xml:space="preserve">Eskualdeko marka turistikoa sortzea: </w:t>
      </w:r>
      <w:r w:rsidRPr="00170EF2">
        <w:rPr>
          <w:rFonts w:ascii="Calibri" w:eastAsia="Calibri" w:hAnsi="Calibri"/>
          <w:sz w:val="22"/>
          <w:szCs w:val="22"/>
        </w:rPr>
        <w:t>berezko marka turistikoa diseinatzea, eskualdea berezituko duena eta haren ikono turistikoa izango dena.</w:t>
      </w:r>
    </w:p>
    <w:p w14:paraId="71E508B8" w14:textId="77777777" w:rsidR="00170EF2" w:rsidRPr="00170EF2" w:rsidRDefault="00170EF2" w:rsidP="00170EF2">
      <w:pPr>
        <w:spacing w:after="160" w:line="259" w:lineRule="auto"/>
        <w:ind w:left="851"/>
        <w:contextualSpacing/>
        <w:jc w:val="left"/>
        <w:rPr>
          <w:rFonts w:ascii="Calibri" w:eastAsia="Calibri" w:hAnsi="Calibri"/>
          <w:sz w:val="22"/>
          <w:szCs w:val="22"/>
        </w:rPr>
      </w:pPr>
    </w:p>
    <w:p w14:paraId="7D177ECF" w14:textId="74672E32" w:rsidR="00481F16" w:rsidRDefault="00170EF2">
      <w:pPr>
        <w:spacing w:after="160" w:line="259" w:lineRule="auto"/>
        <w:ind w:left="2124" w:hanging="2124"/>
        <w:rPr>
          <w:rFonts w:ascii="Calibri" w:eastAsia="Calibri" w:hAnsi="Calibri"/>
          <w:sz w:val="22"/>
          <w:szCs w:val="22"/>
        </w:rPr>
      </w:pPr>
      <w:r>
        <w:rPr>
          <w:rFonts w:ascii="Calibri" w:eastAsia="Calibri" w:hAnsi="Calibri"/>
          <w:b/>
          <w:sz w:val="22"/>
          <w:szCs w:val="22"/>
        </w:rPr>
        <w:t>Hirugarrena. – Alderdien konpromisoak.</w:t>
      </w:r>
    </w:p>
    <w:p w14:paraId="0968CEED" w14:textId="77777777" w:rsidR="00481F16" w:rsidRDefault="00170EF2">
      <w:pPr>
        <w:spacing w:after="160" w:line="259" w:lineRule="auto"/>
        <w:ind w:left="2124" w:hanging="2124"/>
        <w:rPr>
          <w:rFonts w:ascii="Calibri" w:eastAsia="Calibri" w:hAnsi="Calibri"/>
          <w:sz w:val="22"/>
          <w:szCs w:val="22"/>
        </w:rPr>
      </w:pPr>
      <w:r>
        <w:rPr>
          <w:rFonts w:ascii="Calibri" w:eastAsia="Calibri" w:hAnsi="Calibri"/>
          <w:sz w:val="22"/>
          <w:szCs w:val="22"/>
        </w:rPr>
        <w:t>1.- Turismo, Merkataritza eta Kontsumo Sailak konpromisoa hartzen du ezarritako zenbatekoa transferitzeko.</w:t>
      </w:r>
    </w:p>
    <w:p w14:paraId="14D71A2A"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Zehazki, Eusko Jaurlaritzako Turismo, Merkataritza eta Kontsumo Sailak konpromisoa hartzen du, hartutako konpromisoaren ondorioz, honako zenbateko hau emateko:</w:t>
      </w:r>
    </w:p>
    <w:p w14:paraId="1B137C5A" w14:textId="77777777" w:rsidR="00481F16" w:rsidRDefault="00170EF2">
      <w:pPr>
        <w:numPr>
          <w:ilvl w:val="0"/>
          <w:numId w:val="37"/>
        </w:numPr>
        <w:spacing w:after="160" w:line="259" w:lineRule="auto"/>
        <w:ind w:left="851" w:hanging="567"/>
        <w:contextualSpacing/>
        <w:jc w:val="left"/>
        <w:rPr>
          <w:rFonts w:ascii="Calibri" w:eastAsia="Calibri" w:hAnsi="Calibri"/>
          <w:sz w:val="22"/>
          <w:szCs w:val="22"/>
        </w:rPr>
      </w:pPr>
      <w:r>
        <w:rPr>
          <w:rFonts w:ascii="Calibri" w:eastAsia="Calibri" w:hAnsi="Calibri"/>
          <w:sz w:val="22"/>
          <w:szCs w:val="22"/>
        </w:rPr>
        <w:t>2022. urtea: 134.000 euro</w:t>
      </w:r>
    </w:p>
    <w:p w14:paraId="559639EC" w14:textId="77777777" w:rsidR="00481F16" w:rsidRDefault="00170EF2">
      <w:pPr>
        <w:numPr>
          <w:ilvl w:val="0"/>
          <w:numId w:val="37"/>
        </w:numPr>
        <w:spacing w:after="160" w:line="259" w:lineRule="auto"/>
        <w:ind w:left="851" w:hanging="567"/>
        <w:contextualSpacing/>
        <w:jc w:val="left"/>
        <w:rPr>
          <w:rFonts w:ascii="Calibri" w:eastAsia="Calibri" w:hAnsi="Calibri"/>
          <w:sz w:val="22"/>
          <w:szCs w:val="22"/>
        </w:rPr>
      </w:pPr>
      <w:r>
        <w:rPr>
          <w:rFonts w:ascii="Calibri" w:eastAsia="Calibri" w:hAnsi="Calibri"/>
          <w:sz w:val="22"/>
          <w:szCs w:val="22"/>
        </w:rPr>
        <w:t>2023. urtea: 866.000 euro</w:t>
      </w:r>
    </w:p>
    <w:p w14:paraId="7F38F988"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Programen jarduerak honako taula honetan zehaztutako programen arabera finantzatuko dira:</w:t>
      </w:r>
    </w:p>
    <w:tbl>
      <w:tblPr>
        <w:tblStyle w:val="Tablaconcuadrcula1"/>
        <w:tblW w:w="0" w:type="auto"/>
        <w:jc w:val="center"/>
        <w:tblLook w:val="04A0" w:firstRow="1" w:lastRow="0" w:firstColumn="1" w:lastColumn="0" w:noHBand="0" w:noVBand="1"/>
      </w:tblPr>
      <w:tblGrid>
        <w:gridCol w:w="4106"/>
        <w:gridCol w:w="3784"/>
      </w:tblGrid>
      <w:tr w:rsidR="00481F16" w14:paraId="66DAC56B" w14:textId="77777777">
        <w:trPr>
          <w:jc w:val="center"/>
        </w:trPr>
        <w:tc>
          <w:tcPr>
            <w:tcW w:w="4106" w:type="dxa"/>
            <w:shd w:val="clear" w:color="auto" w:fill="A6A6A6"/>
          </w:tcPr>
          <w:p w14:paraId="47C9DEB3" w14:textId="77777777" w:rsidR="00481F16" w:rsidRDefault="00170EF2">
            <w:pPr>
              <w:ind w:left="2124" w:hanging="2124"/>
              <w:rPr>
                <w:rFonts w:ascii="Calibri" w:hAnsi="Calibri"/>
                <w:b/>
                <w:sz w:val="24"/>
                <w:szCs w:val="24"/>
              </w:rPr>
            </w:pPr>
            <w:r>
              <w:rPr>
                <w:rFonts w:ascii="Calibri" w:hAnsi="Calibri"/>
                <w:b/>
                <w:sz w:val="24"/>
                <w:szCs w:val="24"/>
              </w:rPr>
              <w:t>JARDUERA</w:t>
            </w:r>
          </w:p>
        </w:tc>
        <w:tc>
          <w:tcPr>
            <w:tcW w:w="3119" w:type="dxa"/>
            <w:shd w:val="clear" w:color="auto" w:fill="A6A6A6"/>
          </w:tcPr>
          <w:p w14:paraId="26716274" w14:textId="77777777" w:rsidR="00481F16" w:rsidRDefault="00170EF2">
            <w:pPr>
              <w:ind w:left="2124" w:hanging="2124"/>
              <w:rPr>
                <w:rFonts w:ascii="Calibri" w:hAnsi="Calibri"/>
                <w:b/>
                <w:sz w:val="24"/>
                <w:szCs w:val="24"/>
              </w:rPr>
            </w:pPr>
            <w:r>
              <w:rPr>
                <w:rFonts w:ascii="Calibri" w:hAnsi="Calibri"/>
                <w:b/>
                <w:sz w:val="24"/>
                <w:szCs w:val="24"/>
              </w:rPr>
              <w:t>ZENBATEKO EKONOMIKOA</w:t>
            </w:r>
          </w:p>
        </w:tc>
      </w:tr>
      <w:tr w:rsidR="00481F16" w14:paraId="189F44B2" w14:textId="77777777">
        <w:trPr>
          <w:jc w:val="center"/>
        </w:trPr>
        <w:tc>
          <w:tcPr>
            <w:tcW w:w="4106" w:type="dxa"/>
          </w:tcPr>
          <w:p w14:paraId="71D48C6F" w14:textId="77777777" w:rsidR="00481F16" w:rsidRDefault="00170EF2">
            <w:pPr>
              <w:ind w:left="2124" w:hanging="2124"/>
              <w:rPr>
                <w:rFonts w:ascii="Calibri" w:hAnsi="Calibri"/>
                <w:sz w:val="24"/>
                <w:szCs w:val="24"/>
              </w:rPr>
            </w:pPr>
            <w:r>
              <w:rPr>
                <w:rFonts w:ascii="Calibri" w:hAnsi="Calibri"/>
                <w:sz w:val="24"/>
                <w:szCs w:val="24"/>
              </w:rPr>
              <w:t>Turismo-sektorearen sustapena</w:t>
            </w:r>
          </w:p>
        </w:tc>
        <w:tc>
          <w:tcPr>
            <w:tcW w:w="3119" w:type="dxa"/>
          </w:tcPr>
          <w:p w14:paraId="021C741E" w14:textId="77777777" w:rsidR="00481F16" w:rsidRDefault="00170EF2">
            <w:pPr>
              <w:ind w:left="2124" w:hanging="2124"/>
              <w:rPr>
                <w:rFonts w:ascii="Calibri" w:hAnsi="Calibri"/>
                <w:sz w:val="24"/>
                <w:szCs w:val="24"/>
              </w:rPr>
            </w:pPr>
            <w:r>
              <w:rPr>
                <w:rFonts w:ascii="Calibri" w:hAnsi="Calibri"/>
                <w:sz w:val="24"/>
                <w:szCs w:val="24"/>
              </w:rPr>
              <w:t>100.000 Є</w:t>
            </w:r>
          </w:p>
        </w:tc>
      </w:tr>
      <w:tr w:rsidR="00481F16" w14:paraId="76FD73EB" w14:textId="77777777">
        <w:trPr>
          <w:jc w:val="center"/>
        </w:trPr>
        <w:tc>
          <w:tcPr>
            <w:tcW w:w="4106" w:type="dxa"/>
          </w:tcPr>
          <w:p w14:paraId="311B1112" w14:textId="77777777" w:rsidR="00481F16" w:rsidRDefault="00170EF2">
            <w:pPr>
              <w:ind w:left="2124" w:hanging="2124"/>
              <w:rPr>
                <w:rFonts w:ascii="Calibri" w:hAnsi="Calibri"/>
                <w:sz w:val="24"/>
                <w:szCs w:val="24"/>
              </w:rPr>
            </w:pPr>
            <w:r>
              <w:rPr>
                <w:rFonts w:ascii="Calibri" w:hAnsi="Calibri"/>
                <w:sz w:val="24"/>
                <w:szCs w:val="24"/>
              </w:rPr>
              <w:t>Txakolinaren ibilbidea</w:t>
            </w:r>
          </w:p>
        </w:tc>
        <w:tc>
          <w:tcPr>
            <w:tcW w:w="3119" w:type="dxa"/>
          </w:tcPr>
          <w:p w14:paraId="766AB70D" w14:textId="77777777" w:rsidR="00481F16" w:rsidRDefault="00170EF2">
            <w:pPr>
              <w:ind w:left="2124" w:hanging="2124"/>
              <w:rPr>
                <w:rFonts w:ascii="Calibri" w:hAnsi="Calibri"/>
                <w:sz w:val="24"/>
                <w:szCs w:val="24"/>
              </w:rPr>
            </w:pPr>
            <w:r>
              <w:rPr>
                <w:rFonts w:ascii="Calibri" w:hAnsi="Calibri"/>
                <w:sz w:val="24"/>
                <w:szCs w:val="24"/>
              </w:rPr>
              <w:t>200.000 Є</w:t>
            </w:r>
          </w:p>
        </w:tc>
      </w:tr>
      <w:tr w:rsidR="00481F16" w14:paraId="537AE349" w14:textId="77777777">
        <w:trPr>
          <w:jc w:val="center"/>
        </w:trPr>
        <w:tc>
          <w:tcPr>
            <w:tcW w:w="4106" w:type="dxa"/>
          </w:tcPr>
          <w:p w14:paraId="7454E47F" w14:textId="77777777" w:rsidR="00481F16" w:rsidRDefault="00170EF2">
            <w:pPr>
              <w:ind w:left="2124" w:hanging="2124"/>
              <w:rPr>
                <w:rFonts w:ascii="Calibri" w:hAnsi="Calibri"/>
                <w:sz w:val="24"/>
                <w:szCs w:val="24"/>
              </w:rPr>
            </w:pPr>
            <w:r>
              <w:rPr>
                <w:rFonts w:ascii="Calibri" w:hAnsi="Calibri"/>
                <w:sz w:val="24"/>
                <w:szCs w:val="24"/>
              </w:rPr>
              <w:t>Artisau-ibilbide gastronomikoa</w:t>
            </w:r>
          </w:p>
        </w:tc>
        <w:tc>
          <w:tcPr>
            <w:tcW w:w="3119" w:type="dxa"/>
          </w:tcPr>
          <w:p w14:paraId="77CECC27" w14:textId="77777777" w:rsidR="00481F16" w:rsidRDefault="00170EF2">
            <w:pPr>
              <w:ind w:left="2124" w:hanging="2124"/>
              <w:rPr>
                <w:rFonts w:ascii="Calibri" w:hAnsi="Calibri"/>
                <w:sz w:val="24"/>
                <w:szCs w:val="24"/>
              </w:rPr>
            </w:pPr>
            <w:r>
              <w:rPr>
                <w:rFonts w:ascii="Calibri" w:hAnsi="Calibri"/>
                <w:sz w:val="24"/>
                <w:szCs w:val="24"/>
              </w:rPr>
              <w:t>150.000 Є</w:t>
            </w:r>
          </w:p>
        </w:tc>
      </w:tr>
      <w:tr w:rsidR="00481F16" w14:paraId="631A351D" w14:textId="77777777">
        <w:trPr>
          <w:jc w:val="center"/>
        </w:trPr>
        <w:tc>
          <w:tcPr>
            <w:tcW w:w="4106" w:type="dxa"/>
          </w:tcPr>
          <w:p w14:paraId="2C6E4FBF" w14:textId="77777777" w:rsidR="00481F16" w:rsidRDefault="00170EF2">
            <w:pPr>
              <w:ind w:left="2124" w:hanging="2124"/>
              <w:rPr>
                <w:rFonts w:ascii="Calibri" w:hAnsi="Calibri"/>
                <w:sz w:val="24"/>
                <w:szCs w:val="24"/>
              </w:rPr>
            </w:pPr>
            <w:r>
              <w:rPr>
                <w:rFonts w:ascii="Calibri" w:hAnsi="Calibri"/>
                <w:sz w:val="24"/>
                <w:szCs w:val="24"/>
              </w:rPr>
              <w:t>Museoen sarea</w:t>
            </w:r>
          </w:p>
        </w:tc>
        <w:tc>
          <w:tcPr>
            <w:tcW w:w="3119" w:type="dxa"/>
          </w:tcPr>
          <w:p w14:paraId="1EF61F44" w14:textId="77777777" w:rsidR="00481F16" w:rsidRDefault="00170EF2">
            <w:pPr>
              <w:ind w:left="2124" w:hanging="2124"/>
              <w:rPr>
                <w:rFonts w:ascii="Calibri" w:hAnsi="Calibri"/>
                <w:sz w:val="24"/>
                <w:szCs w:val="24"/>
              </w:rPr>
            </w:pPr>
            <w:r>
              <w:rPr>
                <w:rFonts w:ascii="Calibri" w:hAnsi="Calibri"/>
                <w:sz w:val="24"/>
                <w:szCs w:val="24"/>
              </w:rPr>
              <w:t>100.000 Є</w:t>
            </w:r>
          </w:p>
        </w:tc>
      </w:tr>
      <w:tr w:rsidR="00481F16" w14:paraId="0CA8354B" w14:textId="77777777">
        <w:trPr>
          <w:jc w:val="center"/>
        </w:trPr>
        <w:tc>
          <w:tcPr>
            <w:tcW w:w="4106" w:type="dxa"/>
          </w:tcPr>
          <w:p w14:paraId="7F748953" w14:textId="77777777" w:rsidR="00481F16" w:rsidRDefault="00170EF2">
            <w:pPr>
              <w:ind w:left="2124" w:hanging="2124"/>
              <w:rPr>
                <w:rFonts w:ascii="Calibri" w:hAnsi="Calibri"/>
                <w:sz w:val="24"/>
                <w:szCs w:val="24"/>
              </w:rPr>
            </w:pPr>
            <w:r>
              <w:rPr>
                <w:rFonts w:ascii="Calibri" w:hAnsi="Calibri"/>
                <w:sz w:val="24"/>
                <w:szCs w:val="24"/>
              </w:rPr>
              <w:t>Dorretxeen ibilbidea</w:t>
            </w:r>
          </w:p>
        </w:tc>
        <w:tc>
          <w:tcPr>
            <w:tcW w:w="3119" w:type="dxa"/>
          </w:tcPr>
          <w:p w14:paraId="34C535A8" w14:textId="77777777" w:rsidR="00481F16" w:rsidRDefault="00170EF2">
            <w:pPr>
              <w:ind w:left="2124" w:hanging="2124"/>
              <w:rPr>
                <w:rFonts w:ascii="Calibri" w:hAnsi="Calibri"/>
                <w:sz w:val="24"/>
                <w:szCs w:val="24"/>
              </w:rPr>
            </w:pPr>
            <w:r>
              <w:rPr>
                <w:rFonts w:ascii="Calibri" w:hAnsi="Calibri"/>
                <w:sz w:val="24"/>
                <w:szCs w:val="24"/>
              </w:rPr>
              <w:t>50.000 Є</w:t>
            </w:r>
          </w:p>
        </w:tc>
      </w:tr>
      <w:tr w:rsidR="00481F16" w14:paraId="12311140" w14:textId="77777777">
        <w:trPr>
          <w:jc w:val="center"/>
        </w:trPr>
        <w:tc>
          <w:tcPr>
            <w:tcW w:w="4106" w:type="dxa"/>
          </w:tcPr>
          <w:p w14:paraId="4520E999" w14:textId="77777777" w:rsidR="00481F16" w:rsidRDefault="00170EF2">
            <w:pPr>
              <w:ind w:left="2124" w:hanging="2124"/>
              <w:jc w:val="left"/>
              <w:rPr>
                <w:rFonts w:ascii="Calibri" w:hAnsi="Calibri"/>
                <w:sz w:val="24"/>
                <w:szCs w:val="24"/>
              </w:rPr>
            </w:pPr>
            <w:r>
              <w:rPr>
                <w:rFonts w:ascii="Calibri" w:hAnsi="Calibri"/>
                <w:sz w:val="24"/>
                <w:szCs w:val="24"/>
              </w:rPr>
              <w:t>Elementu publikoetako jarduketak</w:t>
            </w:r>
          </w:p>
          <w:p w14:paraId="2C1127C2" w14:textId="1F193271" w:rsidR="00481F16" w:rsidRDefault="00170EF2">
            <w:pPr>
              <w:ind w:left="2124" w:hanging="2124"/>
              <w:jc w:val="left"/>
              <w:rPr>
                <w:rFonts w:ascii="Calibri" w:hAnsi="Calibri"/>
                <w:sz w:val="24"/>
                <w:szCs w:val="24"/>
              </w:rPr>
            </w:pPr>
            <w:r>
              <w:rPr>
                <w:rFonts w:ascii="Calibri" w:hAnsi="Calibri"/>
                <w:sz w:val="24"/>
                <w:szCs w:val="24"/>
              </w:rPr>
              <w:t>Kexaako monumentu-multzotik</w:t>
            </w:r>
          </w:p>
        </w:tc>
        <w:tc>
          <w:tcPr>
            <w:tcW w:w="3119" w:type="dxa"/>
          </w:tcPr>
          <w:p w14:paraId="292F0915" w14:textId="00FDF04D" w:rsidR="00481F16" w:rsidRDefault="00170EF2">
            <w:pPr>
              <w:ind w:left="2124" w:hanging="2124"/>
              <w:rPr>
                <w:rFonts w:ascii="Calibri" w:hAnsi="Calibri"/>
                <w:sz w:val="24"/>
                <w:szCs w:val="24"/>
              </w:rPr>
            </w:pPr>
            <w:r>
              <w:rPr>
                <w:rFonts w:ascii="Calibri" w:hAnsi="Calibri"/>
                <w:sz w:val="24"/>
                <w:szCs w:val="24"/>
              </w:rPr>
              <w:t>84.000 €(diseinua, azterketa eta hasiera)</w:t>
            </w:r>
          </w:p>
          <w:p w14:paraId="0C7C28AC" w14:textId="77777777" w:rsidR="00481F16" w:rsidRDefault="00170EF2">
            <w:pPr>
              <w:ind w:left="2124" w:hanging="2124"/>
              <w:rPr>
                <w:rFonts w:ascii="Calibri" w:hAnsi="Calibri"/>
                <w:sz w:val="24"/>
                <w:szCs w:val="24"/>
              </w:rPr>
            </w:pPr>
            <w:r>
              <w:rPr>
                <w:rFonts w:ascii="Calibri" w:hAnsi="Calibri"/>
                <w:sz w:val="24"/>
                <w:szCs w:val="24"/>
              </w:rPr>
              <w:t>246.000 Betearazpena</w:t>
            </w:r>
          </w:p>
        </w:tc>
      </w:tr>
      <w:tr w:rsidR="00481F16" w14:paraId="413C5ED8" w14:textId="77777777">
        <w:trPr>
          <w:jc w:val="center"/>
        </w:trPr>
        <w:tc>
          <w:tcPr>
            <w:tcW w:w="4106" w:type="dxa"/>
          </w:tcPr>
          <w:p w14:paraId="7F6F71A7" w14:textId="77777777" w:rsidR="00481F16" w:rsidRDefault="00170EF2">
            <w:pPr>
              <w:ind w:left="2124" w:hanging="2124"/>
              <w:rPr>
                <w:rFonts w:ascii="Calibri" w:hAnsi="Calibri"/>
                <w:sz w:val="24"/>
                <w:szCs w:val="24"/>
              </w:rPr>
            </w:pPr>
            <w:r>
              <w:rPr>
                <w:rFonts w:ascii="Calibri" w:hAnsi="Calibri"/>
                <w:sz w:val="24"/>
                <w:szCs w:val="24"/>
              </w:rPr>
              <w:t>Ekitaldi bereziak</w:t>
            </w:r>
          </w:p>
        </w:tc>
        <w:tc>
          <w:tcPr>
            <w:tcW w:w="3119" w:type="dxa"/>
          </w:tcPr>
          <w:p w14:paraId="716816B7" w14:textId="77777777" w:rsidR="00481F16" w:rsidRDefault="00170EF2">
            <w:pPr>
              <w:ind w:left="2124" w:hanging="2124"/>
              <w:rPr>
                <w:rFonts w:ascii="Calibri" w:hAnsi="Calibri"/>
                <w:sz w:val="24"/>
                <w:szCs w:val="24"/>
              </w:rPr>
            </w:pPr>
            <w:r>
              <w:rPr>
                <w:rFonts w:ascii="Calibri" w:hAnsi="Calibri"/>
                <w:sz w:val="24"/>
                <w:szCs w:val="24"/>
              </w:rPr>
              <w:t>50.000 Є</w:t>
            </w:r>
          </w:p>
        </w:tc>
      </w:tr>
      <w:tr w:rsidR="00481F16" w14:paraId="571DF2DF" w14:textId="77777777">
        <w:trPr>
          <w:jc w:val="center"/>
        </w:trPr>
        <w:tc>
          <w:tcPr>
            <w:tcW w:w="4106" w:type="dxa"/>
          </w:tcPr>
          <w:p w14:paraId="440F61C1" w14:textId="77777777" w:rsidR="00481F16" w:rsidRDefault="00170EF2">
            <w:pPr>
              <w:ind w:left="2124" w:hanging="2124"/>
              <w:rPr>
                <w:rFonts w:ascii="Calibri" w:hAnsi="Calibri"/>
                <w:sz w:val="24"/>
                <w:szCs w:val="24"/>
              </w:rPr>
            </w:pPr>
            <w:r>
              <w:rPr>
                <w:rFonts w:ascii="Calibri" w:hAnsi="Calibri"/>
                <w:sz w:val="24"/>
                <w:szCs w:val="24"/>
              </w:rPr>
              <w:t>Eskualdeko marka turistikoa sortzea</w:t>
            </w:r>
          </w:p>
        </w:tc>
        <w:tc>
          <w:tcPr>
            <w:tcW w:w="3119" w:type="dxa"/>
          </w:tcPr>
          <w:p w14:paraId="1D26086D" w14:textId="77777777" w:rsidR="00481F16" w:rsidRDefault="00170EF2">
            <w:pPr>
              <w:ind w:left="2124" w:hanging="2124"/>
              <w:rPr>
                <w:rFonts w:ascii="Calibri" w:hAnsi="Calibri"/>
                <w:sz w:val="24"/>
                <w:szCs w:val="24"/>
              </w:rPr>
            </w:pPr>
            <w:r>
              <w:rPr>
                <w:rFonts w:ascii="Calibri" w:hAnsi="Calibri"/>
                <w:sz w:val="24"/>
                <w:szCs w:val="24"/>
              </w:rPr>
              <w:t>20.000 Є</w:t>
            </w:r>
          </w:p>
        </w:tc>
      </w:tr>
      <w:tr w:rsidR="00481F16" w14:paraId="53EA4DD6" w14:textId="77777777">
        <w:trPr>
          <w:jc w:val="center"/>
        </w:trPr>
        <w:tc>
          <w:tcPr>
            <w:tcW w:w="4106" w:type="dxa"/>
            <w:shd w:val="clear" w:color="auto" w:fill="A6A6A6"/>
          </w:tcPr>
          <w:p w14:paraId="32FB3479" w14:textId="77777777" w:rsidR="00481F16" w:rsidRDefault="00170EF2">
            <w:pPr>
              <w:ind w:left="2124" w:hanging="2124"/>
              <w:rPr>
                <w:rFonts w:ascii="Calibri" w:hAnsi="Calibri"/>
                <w:b/>
                <w:sz w:val="24"/>
                <w:szCs w:val="24"/>
              </w:rPr>
            </w:pPr>
            <w:r>
              <w:rPr>
                <w:rFonts w:ascii="Calibri" w:hAnsi="Calibri"/>
                <w:b/>
                <w:sz w:val="24"/>
                <w:szCs w:val="24"/>
              </w:rPr>
              <w:t>GUZTIRA</w:t>
            </w:r>
          </w:p>
        </w:tc>
        <w:tc>
          <w:tcPr>
            <w:tcW w:w="3119" w:type="dxa"/>
            <w:shd w:val="clear" w:color="auto" w:fill="A6A6A6"/>
          </w:tcPr>
          <w:p w14:paraId="6A18C92A" w14:textId="77777777" w:rsidR="00481F16" w:rsidRDefault="00170EF2">
            <w:pPr>
              <w:ind w:left="2124" w:hanging="2124"/>
              <w:rPr>
                <w:rFonts w:ascii="Calibri" w:hAnsi="Calibri"/>
                <w:b/>
                <w:sz w:val="24"/>
                <w:szCs w:val="24"/>
              </w:rPr>
            </w:pPr>
            <w:r>
              <w:rPr>
                <w:rFonts w:ascii="Calibri" w:hAnsi="Calibri"/>
                <w:b/>
                <w:sz w:val="24"/>
                <w:szCs w:val="24"/>
              </w:rPr>
              <w:t>1.000.000 €</w:t>
            </w:r>
          </w:p>
        </w:tc>
      </w:tr>
    </w:tbl>
    <w:p w14:paraId="5EB8F510" w14:textId="77777777" w:rsidR="00481F16" w:rsidRDefault="00481F16">
      <w:pPr>
        <w:spacing w:after="160" w:line="259" w:lineRule="auto"/>
        <w:ind w:left="2124" w:hanging="2124"/>
        <w:rPr>
          <w:rFonts w:ascii="Calibri" w:eastAsia="Calibri" w:hAnsi="Calibri"/>
          <w:sz w:val="22"/>
          <w:szCs w:val="22"/>
        </w:rPr>
      </w:pPr>
    </w:p>
    <w:p w14:paraId="789E5D59"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Jarduketak gauzatzeko epea hitzarmena sinatzen denetik 2023ko abenduaren 31ra artekoa izango da.</w:t>
      </w:r>
    </w:p>
    <w:p w14:paraId="6E7006CE" w14:textId="77777777" w:rsidR="00481F16" w:rsidRDefault="00170EF2">
      <w:pPr>
        <w:spacing w:after="160" w:line="259" w:lineRule="auto"/>
        <w:ind w:left="2124" w:hanging="2124"/>
        <w:rPr>
          <w:rFonts w:ascii="Calibri" w:eastAsia="Calibri" w:hAnsi="Calibri"/>
          <w:sz w:val="22"/>
          <w:szCs w:val="22"/>
        </w:rPr>
      </w:pPr>
      <w:r>
        <w:rPr>
          <w:rFonts w:ascii="Calibri" w:eastAsia="Calibri" w:hAnsi="Calibri"/>
          <w:sz w:val="22"/>
          <w:szCs w:val="22"/>
        </w:rPr>
        <w:t>2.- Foru Aldundiak honako jarduketa hauek egiteko konpromisoa hartzen du:</w:t>
      </w:r>
    </w:p>
    <w:p w14:paraId="5AC20731" w14:textId="77777777" w:rsidR="00481F16" w:rsidRDefault="00170EF2">
      <w:pPr>
        <w:spacing w:after="160" w:line="259" w:lineRule="auto"/>
        <w:rPr>
          <w:rFonts w:ascii="Calibri" w:eastAsia="Calibri" w:hAnsi="Calibri"/>
          <w:color w:val="538135"/>
          <w:sz w:val="22"/>
          <w:szCs w:val="22"/>
        </w:rPr>
      </w:pPr>
      <w:r>
        <w:rPr>
          <w:rFonts w:ascii="Calibri" w:eastAsia="Calibri" w:hAnsi="Calibri"/>
          <w:sz w:val="22"/>
          <w:szCs w:val="22"/>
        </w:rPr>
        <w:t>2.1. Programaren jarduketak gauzatzea eta aurreko puntuan aurreikusitako funtsak hitzarmen honetan aurreikusitako jarduerak gauzatzeko eta garatzeko gastuei aplikatzea.</w:t>
      </w:r>
    </w:p>
    <w:p w14:paraId="609AD477"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2.2. Gauzatze-epeak betetzeko eta lortu nahi diren emaitzak maximizatzeko beharrezkoak diren giza baliabideak eta baliabide materialak bideratzea.</w:t>
      </w:r>
    </w:p>
    <w:p w14:paraId="2ED5C820"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2.3. Kontratua egin dela justifikatzea, Eusko Jaurlaritzako Turismo, Merkataritza eta Kontsumo Sailari hitzarmen honetan (zortzigarren klausula) jasotzen den dokumentazioa bidaliz.</w:t>
      </w:r>
    </w:p>
    <w:p w14:paraId="5A6B46DE"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2.4. Administrazio-jardunean objektibotasun-, publizitate- eta gardentasun-printzipioen arabera jardutea.</w:t>
      </w:r>
    </w:p>
    <w:p w14:paraId="608AAB48"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2.5. Turismo, Merkataritza eta Kontsumo Sailari beharrezko informazioa bidaltzea, jardueren eta transferitutako funtsen gauzatze-egoeraren jarraipena egiteko.</w:t>
      </w:r>
    </w:p>
    <w:p w14:paraId="42D9D3EE"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lastRenderedPageBreak/>
        <w:t>2.6. Behar diren neurriak bultzatzea, bai arau-izaerakoak, bai kudeaketaren arlokoak, jarduerak egiten direla bermatzeko.</w:t>
      </w:r>
    </w:p>
    <w:p w14:paraId="39A42515"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2.7. Jarduera horiek Eusko Jaurlaritzako Turismo, Merkataritza eta Kontsumo Sailaren finantzaketarekin egiten direla argitara ematea.</w:t>
      </w:r>
    </w:p>
    <w:p w14:paraId="692F6560"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2.8. Erakunde onuradunak jarduerak azpikontratatu ahal izango ditu, osorik edo zati batean, diruz lagundutako jardueraren zenbatekoaren % 100ean gehienez ere. Era berean, kontratazioak dirulaguntzaren % 20 gainditzen badu eta zenbateko hori 60.000 eurotik gorakoa bada, dirulaguntza ematen duen erakundeak aldez aurretik baimendu beharko du kontratazioa, azaroaren 17ko 38/2003 Legearen 29. artikuluan adierazten den moduan. Kasu horietan, Turismo eta Merkataritzako sailburuordeak emango du diruz lagundutako jarduera xede duten kontratu horiek egiteko baimena.</w:t>
      </w:r>
    </w:p>
    <w:p w14:paraId="5A511068"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Proiektu honen helburuak hobeto lortzeko, Turismo, Merkataritza eta Kontsumo Sailak eta Arabako Foru Aldundiak jarduera horiek lehentasunezkotzat jotzeko konpromisoa hartu dute.</w:t>
      </w:r>
    </w:p>
    <w:p w14:paraId="72EF3B46" w14:textId="4A4DAFD5" w:rsidR="00481F16" w:rsidRDefault="00170EF2">
      <w:pPr>
        <w:spacing w:after="160" w:line="259" w:lineRule="auto"/>
        <w:ind w:left="2124" w:hanging="2124"/>
        <w:rPr>
          <w:rFonts w:ascii="Calibri" w:eastAsia="Calibri" w:hAnsi="Calibri"/>
          <w:b/>
          <w:sz w:val="22"/>
          <w:szCs w:val="22"/>
        </w:rPr>
      </w:pPr>
      <w:r>
        <w:rPr>
          <w:rFonts w:ascii="Calibri" w:eastAsia="Calibri" w:hAnsi="Calibri"/>
          <w:b/>
          <w:sz w:val="22"/>
          <w:szCs w:val="22"/>
        </w:rPr>
        <w:t>Laugarrena. – Finantzaketa.</w:t>
      </w:r>
    </w:p>
    <w:p w14:paraId="5EC1CFEF"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1.- Eusko Jaurlaritzako Turismo, Merkataritza eta Kontsumo Sailak Arabako Foru Aldundiei egingo dien ekarpena 1001211001 75111 45200 2022/001618/eta 1001211000 75111 72100 2022/001618 aurrekontu-kredituaren kontura egingo da, edo, hala badagokio, haren ordezkoaren kontura, 1.000.000 euroko gehieneko zenbatekoarekin, hirugarren klausulan ezarritako programen araberako banaketaren arabera.</w:t>
      </w:r>
    </w:p>
    <w:p w14:paraId="4C52E60E"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 xml:space="preserve">2.- Finantzatu beharreko zenbatekoa zuzeneko dirulaguntzaren bidez ematen da, Euskadiko Ogasun Nagusiaren </w:t>
      </w:r>
      <w:proofErr w:type="spellStart"/>
      <w:r>
        <w:rPr>
          <w:rFonts w:ascii="Calibri" w:eastAsia="Calibri" w:hAnsi="Calibri"/>
          <w:sz w:val="22"/>
          <w:szCs w:val="22"/>
        </w:rPr>
        <w:t>Antolarauei</w:t>
      </w:r>
      <w:proofErr w:type="spellEnd"/>
      <w:r>
        <w:rPr>
          <w:rFonts w:ascii="Calibri" w:eastAsia="Calibri" w:hAnsi="Calibri"/>
          <w:sz w:val="22"/>
          <w:szCs w:val="22"/>
        </w:rPr>
        <w:t xml:space="preserve"> buruzko Legearen testu </w:t>
      </w:r>
      <w:proofErr w:type="spellStart"/>
      <w:r>
        <w:rPr>
          <w:rFonts w:ascii="Calibri" w:eastAsia="Calibri" w:hAnsi="Calibri"/>
          <w:sz w:val="22"/>
          <w:szCs w:val="22"/>
        </w:rPr>
        <w:t>bategina</w:t>
      </w:r>
      <w:proofErr w:type="spellEnd"/>
      <w:r>
        <w:rPr>
          <w:rFonts w:ascii="Calibri" w:eastAsia="Calibri" w:hAnsi="Calibri"/>
          <w:sz w:val="22"/>
          <w:szCs w:val="22"/>
        </w:rPr>
        <w:t xml:space="preserve"> onartzen duen azaroaren 11ko 1/1997 Legegintzako Dekretuaren 49.7 artikuluaren eta Dirulaguntzei buruzko azaroaren 17ko 38/2003 Lege Orokorraren 22.2.c) artikuluaren babesean.</w:t>
      </w:r>
    </w:p>
    <w:p w14:paraId="235085F2"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3.- Behar bezala justifikatutako salbuespenezko zirkunstantziak direla-eta, jarduketak ezin badira aurreikusitako epean gauzatu, hori dela eta, gauzatzeko eta justifikatzeko epea luzatzeko eskatu ahal izango da, eta epea amaitu baino lehen eskatu beharko da. Hitzarmenaren Jarraipen Batzordeak aztertu eta onartu beharko du luzapen hori.</w:t>
      </w:r>
    </w:p>
    <w:p w14:paraId="632F6D1A"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 xml:space="preserve">4.- Turismo, Merkataritza eta Kontsumo Sailak, hitzarmen hau sinatu ondoren, hitzarmenaren arabera konprometitutako guztizko zenbatekoaren 134.000 euroko lehen ordainketa bat transferituko dio Arabako Foru Aldundiari, zerga-betebeharrak eta Gizarte </w:t>
      </w:r>
      <w:proofErr w:type="spellStart"/>
      <w:r>
        <w:rPr>
          <w:rFonts w:ascii="Calibri" w:eastAsia="Calibri" w:hAnsi="Calibri"/>
          <w:sz w:val="22"/>
          <w:szCs w:val="22"/>
        </w:rPr>
        <w:t>Segurantzarekikoak</w:t>
      </w:r>
      <w:proofErr w:type="spellEnd"/>
      <w:r>
        <w:rPr>
          <w:rFonts w:ascii="Calibri" w:eastAsia="Calibri" w:hAnsi="Calibri"/>
          <w:sz w:val="22"/>
          <w:szCs w:val="22"/>
        </w:rPr>
        <w:t xml:space="preserve"> bete direla egiaztatu ondoren.</w:t>
      </w:r>
    </w:p>
    <w:p w14:paraId="10C6C0E7" w14:textId="59AA355B" w:rsidR="00481F16" w:rsidRDefault="00170EF2">
      <w:pPr>
        <w:spacing w:after="160" w:line="259" w:lineRule="auto"/>
        <w:ind w:left="2124" w:hanging="2124"/>
        <w:rPr>
          <w:rFonts w:ascii="Calibri" w:eastAsia="Calibri" w:hAnsi="Calibri"/>
          <w:sz w:val="22"/>
          <w:szCs w:val="22"/>
        </w:rPr>
      </w:pPr>
      <w:r>
        <w:rPr>
          <w:rFonts w:ascii="Calibri" w:eastAsia="Calibri" w:hAnsi="Calibri"/>
          <w:sz w:val="22"/>
          <w:szCs w:val="22"/>
        </w:rPr>
        <w:t>433.000 euroko bigarren ordainketa bat egingo da, beranduenez 2023ko martxoaren 31n.</w:t>
      </w:r>
    </w:p>
    <w:p w14:paraId="59522EDF" w14:textId="71CDD5B9" w:rsidR="00481F16" w:rsidRDefault="00170EF2">
      <w:pPr>
        <w:spacing w:after="160" w:line="259" w:lineRule="auto"/>
        <w:ind w:left="2124" w:hanging="2124"/>
        <w:rPr>
          <w:rFonts w:ascii="Calibri" w:eastAsia="Calibri" w:hAnsi="Calibri"/>
          <w:b/>
          <w:sz w:val="22"/>
          <w:szCs w:val="22"/>
        </w:rPr>
      </w:pPr>
      <w:r>
        <w:rPr>
          <w:rFonts w:ascii="Calibri" w:eastAsia="Calibri" w:hAnsi="Calibri"/>
          <w:sz w:val="22"/>
          <w:szCs w:val="22"/>
        </w:rPr>
        <w:t>Eta, azkenik, 433.000 euroko azken ordainketa bat egingo da, beranduenez 2023ko irailaren 30ean.</w:t>
      </w:r>
    </w:p>
    <w:p w14:paraId="27C8E5D1" w14:textId="0CEB2B29" w:rsidR="00481F16" w:rsidRDefault="00170EF2" w:rsidP="00170EF2">
      <w:pPr>
        <w:spacing w:after="160" w:line="259" w:lineRule="auto"/>
        <w:rPr>
          <w:rFonts w:ascii="Calibri" w:eastAsia="Calibri" w:hAnsi="Calibri"/>
          <w:b/>
          <w:sz w:val="22"/>
          <w:szCs w:val="22"/>
        </w:rPr>
      </w:pPr>
      <w:r>
        <w:rPr>
          <w:rFonts w:ascii="Calibri" w:eastAsia="Calibri" w:hAnsi="Calibri"/>
          <w:b/>
          <w:sz w:val="22"/>
          <w:szCs w:val="22"/>
        </w:rPr>
        <w:t>Bosgarrena. – Helburu bererako beste dirulaguntza, laguntza, diru-sarrera edo baliabide batzuekiko bateragarritasuna.</w:t>
      </w:r>
      <w:bookmarkStart w:id="0" w:name="_Toc62737705"/>
      <w:bookmarkStart w:id="1" w:name="_Toc276710400"/>
      <w:bookmarkEnd w:id="0"/>
      <w:bookmarkEnd w:id="1"/>
    </w:p>
    <w:p w14:paraId="612548E8" w14:textId="37C82E5C" w:rsidR="00481F16" w:rsidRDefault="00170EF2">
      <w:pPr>
        <w:spacing w:after="160" w:line="259" w:lineRule="auto"/>
        <w:rPr>
          <w:rFonts w:ascii="Calibri" w:eastAsia="Calibri" w:hAnsi="Calibri"/>
          <w:sz w:val="22"/>
          <w:szCs w:val="22"/>
        </w:rPr>
      </w:pPr>
      <w:r>
        <w:rPr>
          <w:rFonts w:ascii="Calibri" w:eastAsia="Calibri" w:hAnsi="Calibri"/>
          <w:sz w:val="22"/>
          <w:szCs w:val="22"/>
        </w:rPr>
        <w:t xml:space="preserve">1.- Hitzarmen honen esparruan jasotako ekarpen ekonomikoa bateragarria izango da erakunde honek edo beste erakunde publiko edo pribatu batzuek helburu bererako eman ditzaketenekin, betiere horren ondorioz hitzarmenaren xede diren jardueren kostua </w:t>
      </w:r>
      <w:proofErr w:type="spellStart"/>
      <w:r>
        <w:rPr>
          <w:rFonts w:ascii="Calibri" w:eastAsia="Calibri" w:hAnsi="Calibri"/>
          <w:sz w:val="22"/>
          <w:szCs w:val="22"/>
        </w:rPr>
        <w:t>gainfinantzatzen</w:t>
      </w:r>
      <w:proofErr w:type="spellEnd"/>
      <w:r>
        <w:rPr>
          <w:rFonts w:ascii="Calibri" w:eastAsia="Calibri" w:hAnsi="Calibri"/>
          <w:sz w:val="22"/>
          <w:szCs w:val="22"/>
        </w:rPr>
        <w:t xml:space="preserve"> ez bada.</w:t>
      </w:r>
    </w:p>
    <w:p w14:paraId="6E6ADF25"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2.- Hitzarmen honen babesean emandako ekarpen ekonomikoen zenbatekoak, helburu bererako beste diru-sarrera edo baliabide batzuekin batera, ezingo du inola ere gainditu garatu beharreko jardueraren kostua, Dirulaguntzei buruzko azaroaren 17ko 38/2003 Lege Orokorraren 19.3 artikuluan adierazitakoaren arabera.</w:t>
      </w:r>
    </w:p>
    <w:p w14:paraId="14FF79BE"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Kasu horretan, soberakinari dagokion kopurua kenduko zaio Turismo, Merkataritza eta Kontsumo Sailak emandako laguntzari.</w:t>
      </w:r>
    </w:p>
    <w:p w14:paraId="27EE25B2" w14:textId="502F2FFA" w:rsidR="00481F16" w:rsidRDefault="00170EF2">
      <w:pPr>
        <w:spacing w:after="160" w:line="259" w:lineRule="auto"/>
        <w:rPr>
          <w:rFonts w:ascii="Calibri" w:eastAsia="Calibri" w:hAnsi="Calibri"/>
          <w:sz w:val="22"/>
          <w:szCs w:val="22"/>
        </w:rPr>
      </w:pPr>
      <w:r>
        <w:rPr>
          <w:rFonts w:ascii="Calibri" w:eastAsia="Calibri" w:hAnsi="Calibri"/>
          <w:sz w:val="22"/>
          <w:szCs w:val="22"/>
        </w:rPr>
        <w:lastRenderedPageBreak/>
        <w:t>3.- Jardueren artean dirua transferitu ahal izango da, beharren arabera, betiere Jarraipen Batzordeak horretarako baimena ematen badu.</w:t>
      </w:r>
    </w:p>
    <w:p w14:paraId="7628F5ED" w14:textId="69A68BAF" w:rsidR="00481F16" w:rsidRDefault="00170EF2">
      <w:pPr>
        <w:spacing w:after="160" w:line="259" w:lineRule="auto"/>
        <w:ind w:left="2124" w:hanging="2124"/>
        <w:rPr>
          <w:rFonts w:ascii="Calibri" w:eastAsia="Calibri" w:hAnsi="Calibri"/>
          <w:b/>
          <w:sz w:val="22"/>
          <w:szCs w:val="22"/>
        </w:rPr>
      </w:pPr>
      <w:r>
        <w:rPr>
          <w:rFonts w:ascii="Calibri" w:eastAsia="Calibri" w:hAnsi="Calibri"/>
          <w:b/>
          <w:sz w:val="22"/>
          <w:szCs w:val="22"/>
        </w:rPr>
        <w:t>Seigarrena. – Koordinazio eta Jarraipen Batzorde Mistoa.</w:t>
      </w:r>
    </w:p>
    <w:p w14:paraId="1C6F8441"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1. Koordinazio eta Jarraipen Batzorde Mistoa sortu da. Alderdi sinatzaileen ordezkari hauek osatuko dute:</w:t>
      </w:r>
    </w:p>
    <w:p w14:paraId="7D316E87"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a) Turismo, Merkataritza eta Kontsumo Saileko titularrak izendatutako bi ordezkari; horietako bat presidentea izango da.</w:t>
      </w:r>
    </w:p>
    <w:p w14:paraId="6C6A24BB" w14:textId="66B8ADAE" w:rsidR="00481F16" w:rsidRDefault="00170EF2">
      <w:pPr>
        <w:spacing w:after="160" w:line="259" w:lineRule="auto"/>
        <w:rPr>
          <w:rFonts w:ascii="Calibri" w:eastAsia="Calibri" w:hAnsi="Calibri"/>
          <w:sz w:val="22"/>
          <w:szCs w:val="22"/>
        </w:rPr>
      </w:pPr>
      <w:r>
        <w:rPr>
          <w:rFonts w:ascii="Calibri" w:eastAsia="Calibri" w:hAnsi="Calibri"/>
          <w:sz w:val="22"/>
          <w:szCs w:val="22"/>
        </w:rPr>
        <w:t>b) Arabako Foru Aldundiak izendatutako bi ordezkari.</w:t>
      </w:r>
    </w:p>
    <w:p w14:paraId="3F100528"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Jarraipen Batzordea lau hilean behin bilduko da, edo beharrek hala eskatzen duten guztietan.</w:t>
      </w:r>
    </w:p>
    <w:p w14:paraId="64A2A6AC"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Jarraipen Batzordeak beharrezkotzat jotzen dituen adituak eta teknikariak gonbidatu ahal izango ditu bere bileretara, Batzordeari aholku emateko aztertzen diren gaiei buruz.</w:t>
      </w:r>
    </w:p>
    <w:p w14:paraId="4EE0F7D7"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2. Koordinazio eta Jarraipen Batzorde Mistoak eskumen hauek izango ditu:</w:t>
      </w:r>
    </w:p>
    <w:p w14:paraId="2790C767"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a) Proiektuak gauzatzen direla egiaztatzea, baita lortu nahi diren helburuetara egokitzen direla eta horien bilakaera-maila ere.</w:t>
      </w:r>
    </w:p>
    <w:p w14:paraId="783E7B27"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b) Hitzarmenaren antolaketa eta funtzionamendua hobetzeko egokien iritzitako neurriak hartzea.</w:t>
      </w:r>
    </w:p>
    <w:p w14:paraId="100784FA"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c) Hitzarmena interpretatzean eta betetzean sortzen diren arazoak ebaztea.</w:t>
      </w:r>
    </w:p>
    <w:p w14:paraId="0B851D67"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d) Hitzarmena gauzatzeko beharrezkoak diren jarduerak koordinatzea, bai eta hitzarmena gainbegiratu, jarraitu eta kontrolatzeko beharrezkoak direnak ere.</w:t>
      </w:r>
    </w:p>
    <w:p w14:paraId="0CC59CD6"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e) Proiektuak eta jarduerak gauzatzeko, haien jarraipena egiteko eta ebaluatzeko behar diren dokumentu teknikoak eta txostenak zehaztea.</w:t>
      </w:r>
    </w:p>
    <w:p w14:paraId="141E7BDC" w14:textId="44639FD1" w:rsidR="00481F16" w:rsidRDefault="00170EF2">
      <w:pPr>
        <w:spacing w:after="160" w:line="259" w:lineRule="auto"/>
        <w:rPr>
          <w:rFonts w:ascii="Calibri" w:eastAsia="Calibri" w:hAnsi="Calibri"/>
          <w:sz w:val="22"/>
          <w:szCs w:val="22"/>
        </w:rPr>
      </w:pPr>
      <w:r>
        <w:rPr>
          <w:rFonts w:ascii="Calibri" w:eastAsia="Calibri" w:hAnsi="Calibri"/>
          <w:sz w:val="22"/>
          <w:szCs w:val="22"/>
        </w:rPr>
        <w:t>Ordezkatutako alderdien adostasunez hartuko dira erabakiak. Klausula honetan berariaz ezarri ez denari dagokionez, Sektore Publikoaren Araubide Juridikoaren Legearen atariko tituluko II. kapituluko 3. atalean xedatutakoaren arabera arautuko du Batzordeak bere funtzionamendua eta araubide juridikoa.</w:t>
      </w:r>
    </w:p>
    <w:p w14:paraId="708270A6" w14:textId="101E3445" w:rsidR="00481F16" w:rsidRDefault="00170EF2">
      <w:pPr>
        <w:spacing w:after="160" w:line="259" w:lineRule="auto"/>
        <w:ind w:left="142"/>
        <w:rPr>
          <w:rFonts w:ascii="Calibri" w:eastAsia="Calibri" w:hAnsi="Calibri"/>
          <w:sz w:val="22"/>
          <w:szCs w:val="22"/>
        </w:rPr>
      </w:pPr>
      <w:r>
        <w:rPr>
          <w:rFonts w:ascii="Calibri" w:eastAsia="Calibri" w:hAnsi="Calibri"/>
          <w:b/>
          <w:sz w:val="22"/>
          <w:szCs w:val="22"/>
        </w:rPr>
        <w:t>Zazpigarrena. – Publizitatea.</w:t>
      </w:r>
    </w:p>
    <w:p w14:paraId="57288651" w14:textId="0CCE7E9C"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1. Planari ospea eta ikusgarritasuna emateko, foru-erakunde betearazleak honako jarduketa hauek egingo ditu:</w:t>
      </w:r>
    </w:p>
    <w:p w14:paraId="48B5AE90" w14:textId="77777777"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a) Sare sozialetan eta webgune ofizialetan online hedatzeko jardunak, egin beharreko jarduketak deskribatuz.</w:t>
      </w:r>
    </w:p>
    <w:p w14:paraId="7CF69BAE" w14:textId="77777777"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b) Informazio-saioa, hedabideei eta, oro har, herritarrei zuzendutako ekitaldi publiko baten bidez, Planaren helburuen eta jarduketen berri emateko.</w:t>
      </w:r>
    </w:p>
    <w:p w14:paraId="1BBF6C75" w14:textId="1D032896"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c) Obra zibila egitea dakarten jarduketetan, proiektuak eta jarduketak adierazten dituen kartel bat egotea. Jarraipen-txostenari dokumentu grafiko bat erantsi beharko zaio.</w:t>
      </w:r>
    </w:p>
    <w:p w14:paraId="3CEC60FB" w14:textId="60A0B633" w:rsidR="00170EF2" w:rsidRDefault="00170EF2">
      <w:pPr>
        <w:spacing w:after="160" w:line="259" w:lineRule="auto"/>
        <w:ind w:left="142"/>
        <w:rPr>
          <w:rFonts w:ascii="Calibri" w:eastAsia="Calibri" w:hAnsi="Calibri"/>
          <w:sz w:val="22"/>
          <w:szCs w:val="22"/>
        </w:rPr>
      </w:pPr>
      <w:r>
        <w:rPr>
          <w:rFonts w:ascii="Calibri" w:eastAsia="Calibri" w:hAnsi="Calibri"/>
          <w:sz w:val="22"/>
          <w:szCs w:val="22"/>
        </w:rPr>
        <w:t xml:space="preserve">Klausula honek aipatzen dituen argitalpen guztietan, osorik edo zati batean planaren aurrekontuarekin finantzatuta badaude, «Eusko Jaurlaritzak finantzatutako lehentasunezko jarduketa-eremuak» legenda sartuko da, bai eta hitzarmenaren sinatzaile guztien irudi instituzionala ere, horretarako prestatutako marka-eskuliburuaren arabera. </w:t>
      </w:r>
      <w:hyperlink r:id="rId11" w:history="1">
        <w:r w:rsidRPr="005070D1">
          <w:rPr>
            <w:rStyle w:val="Hipervnculo"/>
            <w:rFonts w:ascii="Calibri" w:eastAsia="Calibri" w:hAnsi="Calibri"/>
            <w:sz w:val="22"/>
            <w:szCs w:val="22"/>
          </w:rPr>
          <w:t>https://www.euskadi.eus/contenidos/informacion/identidad_corporativa_daem/es_def/adjuntos/manual_id_corporativa.pdf</w:t>
        </w:r>
      </w:hyperlink>
    </w:p>
    <w:p w14:paraId="4DDE5084" w14:textId="77777777" w:rsidR="00170EF2" w:rsidRDefault="00170EF2">
      <w:pPr>
        <w:spacing w:after="160" w:line="259" w:lineRule="auto"/>
        <w:ind w:left="142"/>
        <w:rPr>
          <w:rFonts w:ascii="Calibri" w:eastAsia="Calibri" w:hAnsi="Calibri"/>
          <w:sz w:val="22"/>
          <w:szCs w:val="22"/>
        </w:rPr>
      </w:pPr>
    </w:p>
    <w:p w14:paraId="19B07CED" w14:textId="107AB0D3" w:rsidR="00481F16" w:rsidRDefault="00BE55F5">
      <w:pPr>
        <w:spacing w:after="160" w:line="259" w:lineRule="auto"/>
        <w:ind w:left="142"/>
        <w:rPr>
          <w:rFonts w:ascii="Calibri" w:eastAsia="Calibri" w:hAnsi="Calibri"/>
          <w:sz w:val="22"/>
          <w:szCs w:val="22"/>
        </w:rPr>
      </w:pPr>
      <w:hyperlink r:id="rId12" w:history="1"/>
    </w:p>
    <w:p w14:paraId="22B56152" w14:textId="51DAE3BB" w:rsidR="00481F16" w:rsidRDefault="00170EF2">
      <w:pPr>
        <w:spacing w:after="160" w:line="259" w:lineRule="auto"/>
        <w:ind w:left="2124" w:hanging="2124"/>
        <w:rPr>
          <w:rFonts w:ascii="Calibri" w:eastAsia="Calibri" w:hAnsi="Calibri"/>
          <w:b/>
          <w:sz w:val="22"/>
          <w:szCs w:val="22"/>
        </w:rPr>
      </w:pPr>
      <w:r>
        <w:rPr>
          <w:rFonts w:ascii="Calibri" w:eastAsia="Calibri" w:hAnsi="Calibri"/>
          <w:b/>
          <w:sz w:val="22"/>
          <w:szCs w:val="22"/>
        </w:rPr>
        <w:lastRenderedPageBreak/>
        <w:t>Zortzigarrena. – Dirulaguntza justifikatzeko epea eta modua.</w:t>
      </w:r>
    </w:p>
    <w:p w14:paraId="23635CBC" w14:textId="77777777"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1.- 2023ko ekitaldia amaitutakoan, eta beranduenez 2024ko martxoaren 31n, hitzarmen honen IV.3 klausulan jasotako salbuespenarekin, Arabako Foru Aldundiak honako dokumentazio hau bidali beharko du Turismo eta Ostalaritza Zuzendaritzara, jarduketak behar bezala gauzatu direla justifikatzeko:</w:t>
      </w:r>
    </w:p>
    <w:p w14:paraId="35E958E3" w14:textId="77777777"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a) Azalpen-memoria, proposatutako helburua lortzeko hitzarmen honen xede diren ekintzen betetze-maila jasotzen duena.</w:t>
      </w:r>
    </w:p>
    <w:p w14:paraId="5403C5F8" w14:textId="77777777" w:rsidR="00481F16" w:rsidRDefault="00170EF2">
      <w:pPr>
        <w:spacing w:after="160" w:line="259" w:lineRule="auto"/>
        <w:ind w:left="142"/>
        <w:rPr>
          <w:rFonts w:ascii="Calibri" w:eastAsia="Calibri" w:hAnsi="Calibri"/>
          <w:b/>
          <w:sz w:val="22"/>
          <w:szCs w:val="22"/>
        </w:rPr>
      </w:pPr>
      <w:r>
        <w:rPr>
          <w:rFonts w:ascii="Calibri" w:eastAsia="Calibri" w:hAnsi="Calibri"/>
          <w:sz w:val="22"/>
          <w:szCs w:val="22"/>
        </w:rPr>
        <w:t>b) Jarduketa osoaren txostena.</w:t>
      </w:r>
    </w:p>
    <w:p w14:paraId="2FCE9C34" w14:textId="77777777"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c) Egindako jardueren kostua justifikatzen duen memoria ekonomikoa, honako hauek jasoko dituena:</w:t>
      </w:r>
    </w:p>
    <w:p w14:paraId="244B39F4" w14:textId="77777777"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 Gastuen zerrenda sailkatua, honako hauek adierazita: hartzekoduna eta dokumentua, zenbatekoa, jaulkipen-data eta, hala badagokio, ordainketa-data.</w:t>
      </w:r>
    </w:p>
    <w:p w14:paraId="74FB0EEB" w14:textId="77777777"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 Zerrenda horri fakturak edo merkataritzako trafiko juridikoan froga-balio baliokidea duten edo administrazio-eraginkortasuna duten dokumentuak erantsiko zaizkio, eta, hala badagokio, ordainketa egiaztatzen duten agiriak.</w:t>
      </w:r>
    </w:p>
    <w:p w14:paraId="5E783FEF" w14:textId="77777777"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 Hala badagokio, jarduera finantzatu duten beste diru-sarrera edo dirulaguntza batzuen zerrenda xehatua.</w:t>
      </w:r>
    </w:p>
    <w:p w14:paraId="4639A9B0" w14:textId="77777777"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d) Kontu-hartzailetzaren txostena, diruz lagundutako jarduerei dagozkien eta aurreko laburpenean jaso diren gastuak egiazkoak direla ziurtatzen duena.</w:t>
      </w:r>
    </w:p>
    <w:p w14:paraId="2D2F9410" w14:textId="77777777"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Proiektuaren kontu-auditoretza entregatzeak ez du salbuesten gastu- eta ordainketa-dokumentuak aurkeztetik.</w:t>
      </w:r>
    </w:p>
    <w:p w14:paraId="154FFC76" w14:textId="3CCE1A5E" w:rsidR="00481F16" w:rsidRDefault="00170EF2">
      <w:pPr>
        <w:spacing w:after="160" w:line="259" w:lineRule="auto"/>
        <w:ind w:left="142"/>
        <w:rPr>
          <w:rFonts w:ascii="Calibri" w:eastAsia="Calibri" w:hAnsi="Calibri"/>
          <w:sz w:val="22"/>
          <w:szCs w:val="22"/>
        </w:rPr>
      </w:pPr>
      <w:r>
        <w:rPr>
          <w:rFonts w:ascii="Calibri" w:eastAsia="Calibri" w:hAnsi="Calibri"/>
          <w:sz w:val="22"/>
          <w:szCs w:val="22"/>
        </w:rPr>
        <w:t>2.- Hedapen egokia justifikatzeko, erakunde onuradunak justifikazioarekin batera liburu, txosten, liburuxka, kartel edo bestelako dokumentazio bakoitzaren ale bat erantsiko du, edo bestela, kopia bat euskarri fisiko edo magnetikoan, haren izaeraren arabera, edo bataren edo bestearen egokitasunaren arabera.</w:t>
      </w:r>
    </w:p>
    <w:p w14:paraId="3894FBC2" w14:textId="77777777" w:rsidR="00481F16" w:rsidRDefault="00170EF2">
      <w:pPr>
        <w:spacing w:after="160" w:line="259" w:lineRule="auto"/>
        <w:ind w:left="2124" w:hanging="2124"/>
        <w:rPr>
          <w:rFonts w:ascii="Calibri" w:eastAsia="Calibri" w:hAnsi="Calibri"/>
          <w:b/>
          <w:sz w:val="22"/>
          <w:szCs w:val="22"/>
        </w:rPr>
      </w:pPr>
      <w:r>
        <w:rPr>
          <w:rFonts w:ascii="Calibri" w:eastAsia="Calibri" w:hAnsi="Calibri"/>
          <w:b/>
          <w:sz w:val="22"/>
          <w:szCs w:val="22"/>
        </w:rPr>
        <w:t>Bederatzigarrena. – Diruz lagundu daitezkeen gastuak.</w:t>
      </w:r>
    </w:p>
    <w:p w14:paraId="468B007E"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Diruz lagundu daitezkeen gastutzat hartuko dira diruz lagundutako jardueraren izaerari zalantzarik gabe erantzuten diotenak, behar-beharrezkoak direnak eta hitzarmen honen hirugarren klausulan ezarritako epean egiten direnak.</w:t>
      </w:r>
    </w:p>
    <w:p w14:paraId="5D9EB265"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Hitzarmen honetan aurreikusitako ondorioetarako, egindako gastutzat hartuko da justifikazio-epea amaitu aurretik benetan ordaindu dena.</w:t>
      </w:r>
    </w:p>
    <w:p w14:paraId="2C2EB79E" w14:textId="4F62B268" w:rsidR="00481F16" w:rsidRDefault="00170EF2">
      <w:pPr>
        <w:spacing w:after="160" w:line="259" w:lineRule="auto"/>
        <w:ind w:left="2124" w:hanging="2124"/>
        <w:rPr>
          <w:rFonts w:ascii="Calibri" w:eastAsia="Calibri" w:hAnsi="Calibri"/>
          <w:b/>
          <w:sz w:val="22"/>
          <w:szCs w:val="22"/>
        </w:rPr>
      </w:pPr>
      <w:r>
        <w:rPr>
          <w:rFonts w:ascii="Calibri" w:eastAsia="Calibri" w:hAnsi="Calibri"/>
          <w:b/>
          <w:sz w:val="22"/>
          <w:szCs w:val="22"/>
        </w:rPr>
        <w:t>Hamargarrena. – Ez betetzea eta itzultzea.</w:t>
      </w:r>
    </w:p>
    <w:p w14:paraId="1746E398" w14:textId="77777777" w:rsidR="00481F16" w:rsidRDefault="00170EF2">
      <w:pPr>
        <w:spacing w:after="160" w:line="259" w:lineRule="auto"/>
        <w:rPr>
          <w:rFonts w:ascii="Calibri" w:eastAsia="Calibri" w:hAnsi="Calibri"/>
          <w:sz w:val="22"/>
          <w:szCs w:val="22"/>
        </w:rPr>
      </w:pPr>
      <w:r>
        <w:rPr>
          <w:rFonts w:ascii="Calibri" w:eastAsia="Calibri" w:hAnsi="Calibri"/>
          <w:sz w:val="22"/>
          <w:szCs w:val="22"/>
        </w:rPr>
        <w:t xml:space="preserve">1.- Ezarritako baldintzak betetzen ez direla egiaztatuz gero, jasotako zenbatekoak eta legezko interesak Euskal Autonomia Erkidegoko Diruzaintza Nagusiari itzuli beharko zaizkio, Euskal Autonomia Erkidegoko </w:t>
      </w:r>
      <w:proofErr w:type="spellStart"/>
      <w:r>
        <w:rPr>
          <w:rFonts w:ascii="Calibri" w:eastAsia="Calibri" w:hAnsi="Calibri"/>
          <w:sz w:val="22"/>
          <w:szCs w:val="22"/>
        </w:rPr>
        <w:t>Herriogasuntza</w:t>
      </w:r>
      <w:proofErr w:type="spellEnd"/>
      <w:r>
        <w:rPr>
          <w:rFonts w:ascii="Calibri" w:eastAsia="Calibri" w:hAnsi="Calibri"/>
          <w:sz w:val="22"/>
          <w:szCs w:val="22"/>
        </w:rPr>
        <w:t xml:space="preserve"> Nagusiaren </w:t>
      </w:r>
      <w:proofErr w:type="spellStart"/>
      <w:r>
        <w:rPr>
          <w:rFonts w:ascii="Calibri" w:eastAsia="Calibri" w:hAnsi="Calibri"/>
          <w:sz w:val="22"/>
          <w:szCs w:val="22"/>
        </w:rPr>
        <w:t>Antolarauei</w:t>
      </w:r>
      <w:proofErr w:type="spellEnd"/>
      <w:r>
        <w:rPr>
          <w:rFonts w:ascii="Calibri" w:eastAsia="Calibri" w:hAnsi="Calibri"/>
          <w:sz w:val="22"/>
          <w:szCs w:val="22"/>
        </w:rPr>
        <w:t xml:space="preserve"> buruzko Legearen Testu </w:t>
      </w:r>
      <w:proofErr w:type="spellStart"/>
      <w:r>
        <w:rPr>
          <w:rFonts w:ascii="Calibri" w:eastAsia="Calibri" w:hAnsi="Calibri"/>
          <w:sz w:val="22"/>
          <w:szCs w:val="22"/>
        </w:rPr>
        <w:t>Bateginaren</w:t>
      </w:r>
      <w:proofErr w:type="spellEnd"/>
      <w:r>
        <w:rPr>
          <w:rFonts w:ascii="Calibri" w:eastAsia="Calibri" w:hAnsi="Calibri"/>
          <w:sz w:val="22"/>
          <w:szCs w:val="22"/>
        </w:rPr>
        <w:t xml:space="preserve"> 53. artikuluan eta abenduaren 17ko 698/1991 Dekretuan ezarritakoaren arabera.</w:t>
      </w:r>
    </w:p>
    <w:p w14:paraId="159604BB" w14:textId="77777777" w:rsidR="00481F16" w:rsidRDefault="00170EF2">
      <w:pPr>
        <w:spacing w:before="180" w:after="180"/>
        <w:rPr>
          <w:rFonts w:ascii="Calibri" w:eastAsia="Calibri" w:hAnsi="Calibri"/>
          <w:sz w:val="22"/>
          <w:szCs w:val="22"/>
        </w:rPr>
      </w:pPr>
      <w:r>
        <w:rPr>
          <w:rFonts w:ascii="Calibri" w:eastAsia="Calibri" w:hAnsi="Calibri"/>
          <w:sz w:val="22"/>
          <w:szCs w:val="22"/>
        </w:rPr>
        <w:t>2.- Ez-betetze partzialen kasuan, itzuli beharreko zenbatekoa proportzionaltasun-printzipioa aplikatuz zehaztuko da, eta kontuan hartuko da ez-betetze hori guztiz betetzera nabarmen hurbiltzen dela eta toki-erakunde betearazleak bere konpromisoak betetzeko jarduera argia egiaztatzen duela.</w:t>
      </w:r>
    </w:p>
    <w:p w14:paraId="37402A7D" w14:textId="1C151C34" w:rsidR="00481F16" w:rsidRDefault="00170EF2">
      <w:pPr>
        <w:spacing w:before="180" w:after="180"/>
        <w:rPr>
          <w:rFonts w:ascii="Calibri" w:eastAsia="Calibri" w:hAnsi="Calibri"/>
          <w:sz w:val="22"/>
          <w:szCs w:val="22"/>
        </w:rPr>
      </w:pPr>
      <w:r>
        <w:rPr>
          <w:rFonts w:ascii="Calibri" w:eastAsia="Calibri" w:hAnsi="Calibri"/>
          <w:sz w:val="22"/>
          <w:szCs w:val="22"/>
        </w:rPr>
        <w:t xml:space="preserve">3.- Itzultzeko prozedura Turismo eta Ostalaritza Zuzendaritzaren ebazpen baten bidez hasiko da. Ebazpen horretan, itzultzeko arrazoia, bete ez diren betebeharrak eta haien zenbatekoa arrazoitu beharko dira, Dirulaguntzei buruzko azaroaren 17ko 38/2003 Lege Orokorraren 41. eta 42. artikuluen babesean. Ebazpen horren berri emango zaio jarduketak gauzatu dituen foru-erakundeari, hamabost eguneko epean </w:t>
      </w:r>
      <w:r>
        <w:rPr>
          <w:rFonts w:ascii="Calibri" w:eastAsia="Calibri" w:hAnsi="Calibri"/>
          <w:sz w:val="22"/>
          <w:szCs w:val="22"/>
        </w:rPr>
        <w:lastRenderedPageBreak/>
        <w:t>alegazioak egin eta bere eskubidearen arabera komenigarritzat jotzen dituen frogak aurkez ditzan. Itzultzeko ebazpena emateko eta jakinarazteko gehieneko epea hamabi hilabetekoa izango da, prozedura ofizialki hasten den egunaren biharamunetik zenbatzen hasita. Itzultzeko ebazpenean, honako hauek jasoko dira: araua bete ez duen foru-erakundearen identifikazioa, itzultzeko arrazoia eta zenbatekoa, legezko interesekin.</w:t>
      </w:r>
    </w:p>
    <w:p w14:paraId="33AACBDC" w14:textId="77777777" w:rsidR="00481F16" w:rsidRDefault="00170EF2">
      <w:pPr>
        <w:spacing w:before="180" w:after="180"/>
        <w:rPr>
          <w:rFonts w:ascii="Calibri" w:eastAsia="Calibri" w:hAnsi="Calibri"/>
          <w:sz w:val="22"/>
          <w:szCs w:val="22"/>
        </w:rPr>
      </w:pPr>
      <w:r>
        <w:rPr>
          <w:rFonts w:ascii="Calibri" w:eastAsia="Calibri" w:hAnsi="Calibri"/>
          <w:sz w:val="22"/>
          <w:szCs w:val="22"/>
        </w:rPr>
        <w:t xml:space="preserve">4.- Dirulaguntza hau emateko kontuan hartutako baldintzak aldatzen badira, eta, edozelan ere, beste administrazio edo erakunde publiko nahiz pribatu batzuetatik beste dirulaguntza batzuk edo bestelako laguntzak jasotzen badira, edota, kasua bada, helburu bererako beste diru-sarrera zein baliabide batzuk eskuratzen badira, dirulaguntza ere aldatu ahal izango da, betiere laguntzaren onuradun izateko ezarritako gutxieneko baldintzak gordetzen badira, Euskal Autonomia Erkidegoko Ogasun Nagusiaren </w:t>
      </w:r>
      <w:proofErr w:type="spellStart"/>
      <w:r>
        <w:rPr>
          <w:rFonts w:ascii="Calibri" w:eastAsia="Calibri" w:hAnsi="Calibri"/>
          <w:sz w:val="22"/>
          <w:szCs w:val="22"/>
        </w:rPr>
        <w:t>Antolarauei</w:t>
      </w:r>
      <w:proofErr w:type="spellEnd"/>
      <w:r>
        <w:rPr>
          <w:rFonts w:ascii="Calibri" w:eastAsia="Calibri" w:hAnsi="Calibri"/>
          <w:sz w:val="22"/>
          <w:szCs w:val="22"/>
        </w:rPr>
        <w:t xml:space="preserve"> buruzko Legearen Testu </w:t>
      </w:r>
      <w:proofErr w:type="spellStart"/>
      <w:r>
        <w:rPr>
          <w:rFonts w:ascii="Calibri" w:eastAsia="Calibri" w:hAnsi="Calibri"/>
          <w:sz w:val="22"/>
          <w:szCs w:val="22"/>
        </w:rPr>
        <w:t>Bateginaren</w:t>
      </w:r>
      <w:proofErr w:type="spellEnd"/>
      <w:r>
        <w:rPr>
          <w:rFonts w:ascii="Calibri" w:eastAsia="Calibri" w:hAnsi="Calibri"/>
          <w:sz w:val="22"/>
          <w:szCs w:val="22"/>
        </w:rPr>
        <w:t xml:space="preserve"> 49.12 artikuluan ezarritako baldintzen arabera (azaroaren 11ko 1/1997 Legegintzako Dekretuak onartu zuen lege hori).</w:t>
      </w:r>
    </w:p>
    <w:p w14:paraId="3A5B9794" w14:textId="060052AB" w:rsidR="00481F16" w:rsidRDefault="00170EF2">
      <w:pPr>
        <w:autoSpaceDE w:val="0"/>
        <w:autoSpaceDN w:val="0"/>
        <w:adjustRightInd w:val="0"/>
        <w:ind w:left="2124" w:hanging="2124"/>
        <w:jc w:val="left"/>
        <w:rPr>
          <w:rFonts w:ascii="Calibri" w:eastAsia="Calibri" w:hAnsi="Calibri"/>
          <w:b/>
          <w:sz w:val="22"/>
          <w:szCs w:val="22"/>
        </w:rPr>
      </w:pPr>
      <w:r>
        <w:rPr>
          <w:rFonts w:ascii="Calibri" w:eastAsia="Calibri" w:hAnsi="Calibri"/>
          <w:b/>
          <w:sz w:val="22"/>
          <w:szCs w:val="22"/>
        </w:rPr>
        <w:t>Hamaikagarrena. – Ebazpena eta aldaketa.</w:t>
      </w:r>
    </w:p>
    <w:p w14:paraId="66D2EEBE" w14:textId="77777777" w:rsidR="00481F16" w:rsidRDefault="00170EF2">
      <w:pPr>
        <w:spacing w:before="180" w:after="180"/>
        <w:ind w:left="2124" w:hanging="2124"/>
        <w:rPr>
          <w:rFonts w:ascii="Calibri" w:eastAsia="Calibri" w:hAnsi="Calibri"/>
          <w:sz w:val="22"/>
          <w:szCs w:val="22"/>
        </w:rPr>
      </w:pPr>
      <w:r>
        <w:rPr>
          <w:rFonts w:ascii="Calibri" w:eastAsia="Calibri" w:hAnsi="Calibri"/>
          <w:sz w:val="22"/>
          <w:szCs w:val="22"/>
        </w:rPr>
        <w:t xml:space="preserve">1.- Azkentzeko arrazoi izango dira </w:t>
      </w:r>
      <w:proofErr w:type="spellStart"/>
      <w:r>
        <w:rPr>
          <w:rFonts w:ascii="Calibri" w:eastAsia="Calibri" w:hAnsi="Calibri"/>
          <w:sz w:val="22"/>
          <w:szCs w:val="22"/>
        </w:rPr>
        <w:t>SPAJLren</w:t>
      </w:r>
      <w:proofErr w:type="spellEnd"/>
      <w:r>
        <w:rPr>
          <w:rFonts w:ascii="Calibri" w:eastAsia="Calibri" w:hAnsi="Calibri"/>
          <w:sz w:val="22"/>
          <w:szCs w:val="22"/>
        </w:rPr>
        <w:t xml:space="preserve"> 51. artikuluan aurreikusitakoak:</w:t>
      </w:r>
    </w:p>
    <w:p w14:paraId="451DD108" w14:textId="77777777" w:rsidR="00481F16" w:rsidRDefault="00170EF2">
      <w:pPr>
        <w:spacing w:before="180" w:after="180"/>
        <w:ind w:left="2124" w:hanging="2124"/>
        <w:rPr>
          <w:rFonts w:ascii="Calibri" w:eastAsia="Calibri" w:hAnsi="Calibri"/>
          <w:b/>
          <w:color w:val="538135"/>
          <w:sz w:val="22"/>
          <w:szCs w:val="22"/>
        </w:rPr>
      </w:pPr>
      <w:r>
        <w:rPr>
          <w:rFonts w:ascii="Calibri" w:eastAsia="Calibri" w:hAnsi="Calibri"/>
          <w:sz w:val="22"/>
          <w:szCs w:val="22"/>
        </w:rPr>
        <w:t>a) Hitzarmenaren indarraldia amaitzea haren luzapena erabaki gabe.</w:t>
      </w:r>
    </w:p>
    <w:p w14:paraId="23E8E9DD" w14:textId="77777777" w:rsidR="00481F16" w:rsidRDefault="00170EF2">
      <w:pPr>
        <w:spacing w:before="180" w:after="180"/>
        <w:ind w:left="2124" w:hanging="2124"/>
        <w:rPr>
          <w:rFonts w:ascii="Calibri" w:eastAsia="Calibri" w:hAnsi="Calibri"/>
          <w:sz w:val="22"/>
          <w:szCs w:val="22"/>
        </w:rPr>
      </w:pPr>
      <w:r>
        <w:rPr>
          <w:rFonts w:ascii="Calibri" w:eastAsia="Calibri" w:hAnsi="Calibri"/>
          <w:sz w:val="22"/>
          <w:szCs w:val="22"/>
        </w:rPr>
        <w:t>b) Sinatzaile guztiek aho batez hala erabakitzea.</w:t>
      </w:r>
    </w:p>
    <w:p w14:paraId="3960817A" w14:textId="77777777" w:rsidR="00481F16" w:rsidRDefault="00170EF2">
      <w:pPr>
        <w:spacing w:before="180" w:after="180"/>
        <w:ind w:left="2124" w:hanging="2124"/>
        <w:rPr>
          <w:rFonts w:ascii="Calibri" w:eastAsia="Calibri" w:hAnsi="Calibri"/>
          <w:sz w:val="22"/>
          <w:szCs w:val="22"/>
        </w:rPr>
      </w:pPr>
      <w:r>
        <w:rPr>
          <w:rFonts w:ascii="Calibri" w:eastAsia="Calibri" w:hAnsi="Calibri"/>
          <w:sz w:val="22"/>
          <w:szCs w:val="22"/>
        </w:rPr>
        <w:t>c) Sinatzaileetako batek bere gain hartutako betebeharrak eta konpromisoak ez betetzea.</w:t>
      </w:r>
    </w:p>
    <w:p w14:paraId="4653F605" w14:textId="77777777" w:rsidR="00481F16" w:rsidRDefault="00170EF2">
      <w:pPr>
        <w:spacing w:before="180" w:after="180"/>
        <w:rPr>
          <w:rFonts w:ascii="Calibri" w:eastAsia="Calibri" w:hAnsi="Calibri"/>
          <w:sz w:val="22"/>
          <w:szCs w:val="22"/>
        </w:rPr>
      </w:pPr>
      <w:r>
        <w:rPr>
          <w:rFonts w:ascii="Calibri" w:eastAsia="Calibri" w:hAnsi="Calibri"/>
          <w:sz w:val="22"/>
          <w:szCs w:val="22"/>
        </w:rPr>
        <w:t>Kasu horretan, alderdietako edozeinek errekerimendu bat jakinarazi ahal izango dio bete ez duen alderdiari, epe jakin batean bete ditzan betegabetzat jotzen diren betebeharrak edo konpromisoak. Errekerimendu hori hitzarmenaren betearazpenaren jarraipen, zaintza eta kontrolerako mekanismoaren arduradunari eta gainerako alderdi sinatzaileei jakinaraziko zaie.</w:t>
      </w:r>
    </w:p>
    <w:p w14:paraId="1E11E959" w14:textId="77777777" w:rsidR="00481F16" w:rsidRDefault="00170EF2">
      <w:pPr>
        <w:spacing w:before="180" w:after="180"/>
        <w:rPr>
          <w:rFonts w:ascii="Calibri" w:eastAsia="Calibri" w:hAnsi="Calibri"/>
          <w:sz w:val="22"/>
          <w:szCs w:val="22"/>
        </w:rPr>
      </w:pPr>
      <w:r>
        <w:rPr>
          <w:rFonts w:ascii="Calibri" w:eastAsia="Calibri" w:hAnsi="Calibri"/>
          <w:sz w:val="22"/>
          <w:szCs w:val="22"/>
        </w:rPr>
        <w:t>Errekerimenduan adierazitako epea igarotakoan ez-betetzeak bere horretan jarraitzen badu, errekerimendua igorri zuen alderdiak alderdi sinatzaileei jakinaraziko die hitzarmena suntsiarazteko arrazoia, eta hitzarmena suntsitutzat joko da. Arrazoi hori dela-eta hitzarmena suntsiarazten bada, eragindako kalteak ordaindu beharko dira, hala aurreikusi bada.</w:t>
      </w:r>
    </w:p>
    <w:p w14:paraId="3031B268" w14:textId="77777777" w:rsidR="00481F16" w:rsidRDefault="00170EF2">
      <w:pPr>
        <w:spacing w:before="180" w:after="180"/>
        <w:rPr>
          <w:rFonts w:ascii="Calibri" w:eastAsia="Calibri" w:hAnsi="Calibri"/>
          <w:sz w:val="22"/>
          <w:szCs w:val="22"/>
        </w:rPr>
      </w:pPr>
      <w:r>
        <w:rPr>
          <w:rFonts w:ascii="Calibri" w:eastAsia="Calibri" w:hAnsi="Calibri"/>
          <w:sz w:val="22"/>
          <w:szCs w:val="22"/>
        </w:rPr>
        <w:t>d) Epaileak hitzarmena deuseztatzeko erabakia hartzea.</w:t>
      </w:r>
    </w:p>
    <w:p w14:paraId="7D9606A9" w14:textId="77777777" w:rsidR="00481F16" w:rsidRDefault="00170EF2">
      <w:pPr>
        <w:spacing w:before="180" w:after="180"/>
        <w:rPr>
          <w:rFonts w:ascii="Calibri" w:eastAsia="Calibri" w:hAnsi="Calibri"/>
          <w:sz w:val="22"/>
          <w:szCs w:val="22"/>
        </w:rPr>
      </w:pPr>
      <w:r>
        <w:rPr>
          <w:rFonts w:ascii="Calibri" w:eastAsia="Calibri" w:hAnsi="Calibri"/>
          <w:sz w:val="22"/>
          <w:szCs w:val="22"/>
        </w:rPr>
        <w:t>e) Aurrekoez bestelako edozein arrazoi, hitzarmenean edo beste lege batzuetan aurreikusita badago.</w:t>
      </w:r>
    </w:p>
    <w:p w14:paraId="7F8A7B26" w14:textId="25EC445A" w:rsidR="00481F16" w:rsidRDefault="00170EF2">
      <w:pPr>
        <w:spacing w:before="180" w:after="180"/>
        <w:rPr>
          <w:rFonts w:ascii="Calibri" w:eastAsia="Calibri" w:hAnsi="Calibri"/>
          <w:sz w:val="22"/>
          <w:szCs w:val="22"/>
        </w:rPr>
      </w:pPr>
      <w:r>
        <w:rPr>
          <w:rFonts w:ascii="Calibri" w:eastAsia="Calibri" w:hAnsi="Calibri"/>
          <w:sz w:val="22"/>
          <w:szCs w:val="22"/>
        </w:rPr>
        <w:t>2.- Hitzarmen hau aldatzeko, Sektore Publikoaren Araubide Juridikoaren Legearen 49.g) artikuluan xedatutakoari jarraituko zaio, eta gehigarri bidez formalizatuko da, legez aurreikusitako izapideen arabera, beharrezkoa den kasuetan.</w:t>
      </w:r>
    </w:p>
    <w:p w14:paraId="7EA36773" w14:textId="77777777" w:rsidR="00481F16" w:rsidRDefault="00170EF2">
      <w:pPr>
        <w:spacing w:before="360" w:after="180"/>
        <w:ind w:left="2124" w:hanging="2124"/>
        <w:jc w:val="left"/>
        <w:outlineLvl w:val="4"/>
        <w:rPr>
          <w:rFonts w:ascii="Calibri" w:eastAsia="Calibri" w:hAnsi="Calibri"/>
          <w:b/>
          <w:sz w:val="22"/>
          <w:szCs w:val="22"/>
        </w:rPr>
      </w:pPr>
      <w:r>
        <w:rPr>
          <w:rFonts w:ascii="Calibri" w:eastAsia="Calibri" w:hAnsi="Calibri"/>
          <w:b/>
          <w:sz w:val="22"/>
          <w:szCs w:val="22"/>
        </w:rPr>
        <w:t>Hamabigarrena. – Indarraldia.</w:t>
      </w:r>
    </w:p>
    <w:p w14:paraId="5DC4905A" w14:textId="77777777" w:rsidR="00481F16" w:rsidRDefault="00170EF2">
      <w:pPr>
        <w:autoSpaceDE w:val="0"/>
        <w:autoSpaceDN w:val="0"/>
        <w:adjustRightInd w:val="0"/>
        <w:spacing w:line="0" w:lineRule="atLeast"/>
        <w:rPr>
          <w:rFonts w:ascii="Calibri" w:eastAsia="Calibri" w:hAnsi="Calibri"/>
          <w:dstrike/>
          <w:sz w:val="22"/>
          <w:szCs w:val="22"/>
        </w:rPr>
      </w:pPr>
      <w:r>
        <w:rPr>
          <w:rFonts w:ascii="Calibri" w:eastAsia="Calibri" w:hAnsi="Calibri"/>
          <w:sz w:val="22"/>
          <w:szCs w:val="22"/>
        </w:rPr>
        <w:t>1.- Hitzarmen hau 2023ko abenduaren 31ra arte egongo da indarrean, sinatzen denetik aurrera.</w:t>
      </w:r>
    </w:p>
    <w:p w14:paraId="58E2A3FC" w14:textId="77777777" w:rsidR="00481F16" w:rsidRDefault="00170EF2">
      <w:pPr>
        <w:spacing w:before="180" w:after="180"/>
        <w:rPr>
          <w:rFonts w:ascii="Calibri" w:eastAsia="Calibri" w:hAnsi="Calibri"/>
          <w:sz w:val="22"/>
          <w:szCs w:val="22"/>
        </w:rPr>
      </w:pPr>
      <w:r>
        <w:rPr>
          <w:rFonts w:ascii="Calibri" w:eastAsia="Calibri" w:hAnsi="Calibri"/>
          <w:sz w:val="22"/>
          <w:szCs w:val="22"/>
        </w:rPr>
        <w:t>2.- Aurreko paragrafoan aurreikusitako epea amaitu aurreko edozein unetan, hitzarmenaren sinatzaileek aho batez erabaki ahal izango dute hura luzatzea, gehienez beste lau urtez, edo hitzarmena azkentzea, 40/2015 Legearen 49.h) artikuluan xedatutakoaren arabera.</w:t>
      </w:r>
    </w:p>
    <w:p w14:paraId="09B9EBD8" w14:textId="77777777" w:rsidR="00481F16" w:rsidRDefault="00170EF2">
      <w:pPr>
        <w:spacing w:before="180" w:after="180"/>
        <w:ind w:left="2124" w:hanging="2124"/>
        <w:rPr>
          <w:rFonts w:ascii="Calibri" w:eastAsia="Calibri" w:hAnsi="Calibri"/>
          <w:b/>
          <w:sz w:val="22"/>
          <w:szCs w:val="22"/>
        </w:rPr>
      </w:pPr>
      <w:r>
        <w:rPr>
          <w:rFonts w:ascii="Calibri" w:eastAsia="Calibri" w:hAnsi="Calibri"/>
          <w:b/>
          <w:sz w:val="22"/>
          <w:szCs w:val="22"/>
        </w:rPr>
        <w:t>Hamahirugarrena. – Datuen babesa</w:t>
      </w:r>
    </w:p>
    <w:p w14:paraId="3C996329" w14:textId="77777777" w:rsidR="00481F16" w:rsidRDefault="00170EF2">
      <w:pPr>
        <w:spacing w:before="360" w:after="180"/>
        <w:outlineLvl w:val="4"/>
        <w:rPr>
          <w:rFonts w:ascii="Calibri" w:eastAsia="Calibri" w:hAnsi="Calibri"/>
          <w:sz w:val="22"/>
          <w:szCs w:val="22"/>
        </w:rPr>
      </w:pPr>
      <w:r>
        <w:rPr>
          <w:rFonts w:ascii="Calibri" w:eastAsia="Calibri" w:hAnsi="Calibri"/>
          <w:sz w:val="22"/>
          <w:szCs w:val="22"/>
        </w:rPr>
        <w:t>Alderdi sinatzaileek, datuen babesaren arloan, honako hauek bete beharko dituzte: 2016/679 Erregelamendua (EB), Europako Parlamentuarena eta Kontseiluarena, 2016ko apirilaren 27koa, datu pertsonalen tratamenduari dagokionez pertsona fisikoen babesari eta datu horien zirkulazio askeari buruzko arauak ezartzen dituena eta 95/46/EE Zuzentaraua (Datuak Babesteko Erregelamendu Orokorra) indargabetzen duena; eta 3/2018 Lege Organikoa, abenduaren 5ekoa, Datu Pertsonalak Babesteari eta Eskubide Digitalak Bermatzeari buruzkoa.</w:t>
      </w:r>
    </w:p>
    <w:p w14:paraId="637DDD61" w14:textId="4BB5EB07" w:rsidR="00481F16" w:rsidRDefault="00170EF2">
      <w:pPr>
        <w:spacing w:before="360" w:after="180"/>
        <w:outlineLvl w:val="4"/>
        <w:rPr>
          <w:rFonts w:ascii="Calibri" w:eastAsia="Calibri" w:hAnsi="Calibri"/>
          <w:sz w:val="22"/>
          <w:szCs w:val="22"/>
        </w:rPr>
      </w:pPr>
      <w:r>
        <w:rPr>
          <w:rFonts w:ascii="Calibri" w:eastAsia="Calibri" w:hAnsi="Calibri"/>
          <w:sz w:val="22"/>
          <w:szCs w:val="22"/>
        </w:rPr>
        <w:lastRenderedPageBreak/>
        <w:t>Hitzarmen honetan, Arabako Foru Aldundia izango da tratamenduaren arduraduna, aipatutako araudian ezarritako baldintzetan eta bertan ezarritako betebehar eta baldintzekin.</w:t>
      </w:r>
    </w:p>
    <w:p w14:paraId="6EA2C8FF" w14:textId="77777777" w:rsidR="00481F16" w:rsidRDefault="00170EF2">
      <w:pPr>
        <w:spacing w:before="360" w:after="180"/>
        <w:ind w:left="2124" w:hanging="2124"/>
        <w:jc w:val="left"/>
        <w:outlineLvl w:val="4"/>
        <w:rPr>
          <w:rFonts w:ascii="Calibri" w:eastAsia="Calibri" w:hAnsi="Calibri"/>
          <w:b/>
          <w:sz w:val="22"/>
          <w:szCs w:val="22"/>
        </w:rPr>
      </w:pPr>
      <w:r>
        <w:rPr>
          <w:rFonts w:ascii="Calibri" w:eastAsia="Calibri" w:hAnsi="Calibri"/>
          <w:b/>
          <w:sz w:val="22"/>
          <w:szCs w:val="22"/>
        </w:rPr>
        <w:t>Hamalaugarrena. – Aplikatu beharreko araubidea.</w:t>
      </w:r>
    </w:p>
    <w:p w14:paraId="7605DB04" w14:textId="77777777" w:rsidR="00481F16" w:rsidRDefault="00170EF2">
      <w:pPr>
        <w:spacing w:before="180" w:after="180"/>
        <w:rPr>
          <w:rFonts w:ascii="Calibri" w:eastAsia="Calibri" w:hAnsi="Calibri"/>
          <w:sz w:val="22"/>
          <w:szCs w:val="22"/>
        </w:rPr>
      </w:pPr>
      <w:r>
        <w:rPr>
          <w:rFonts w:ascii="Calibri" w:eastAsia="Calibri" w:hAnsi="Calibri"/>
          <w:sz w:val="22"/>
          <w:szCs w:val="22"/>
        </w:rPr>
        <w:t xml:space="preserve">1.- Hitzarmen honi aplikatu beharreko araubide juridikoa Sektore Publikoaren Araubide Juridikoaren urriaren 1eko 40/2015 Legearen atariko tituluaren VI. kapituluan ezarritakoa da. Era berean, bidezkoa den heinean, Euskal Autonomia Erkidegoko Ogasun Nagusiaren </w:t>
      </w:r>
      <w:proofErr w:type="spellStart"/>
      <w:r>
        <w:rPr>
          <w:rFonts w:ascii="Calibri" w:eastAsia="Calibri" w:hAnsi="Calibri"/>
          <w:sz w:val="22"/>
          <w:szCs w:val="22"/>
        </w:rPr>
        <w:t>Antolarauei</w:t>
      </w:r>
      <w:proofErr w:type="spellEnd"/>
      <w:r>
        <w:rPr>
          <w:rFonts w:ascii="Calibri" w:eastAsia="Calibri" w:hAnsi="Calibri"/>
          <w:sz w:val="22"/>
          <w:szCs w:val="22"/>
        </w:rPr>
        <w:t xml:space="preserve"> buruzko Legearen testu </w:t>
      </w:r>
      <w:proofErr w:type="spellStart"/>
      <w:r>
        <w:rPr>
          <w:rFonts w:ascii="Calibri" w:eastAsia="Calibri" w:hAnsi="Calibri"/>
          <w:sz w:val="22"/>
          <w:szCs w:val="22"/>
        </w:rPr>
        <w:t>bategina</w:t>
      </w:r>
      <w:proofErr w:type="spellEnd"/>
      <w:r>
        <w:rPr>
          <w:rFonts w:ascii="Calibri" w:eastAsia="Calibri" w:hAnsi="Calibri"/>
          <w:sz w:val="22"/>
          <w:szCs w:val="22"/>
        </w:rPr>
        <w:t xml:space="preserve"> onartzen duen azaroaren 11ko 1/1997 Legegintzako Dekretua eta Dirulaguntzei buruzko azaroaren 17ko 38/2003 Lege Orokorra aplikatuko dira, eta administrazio-zuzenbideko gainerako arauak aplikatuko dira sinatzen den hitzarmenean jasotzen ez diren gaiak interpretatu, aldatu eta ebazteko.</w:t>
      </w:r>
    </w:p>
    <w:p w14:paraId="59B0165F" w14:textId="77777777" w:rsidR="00481F16" w:rsidRDefault="00170EF2">
      <w:pPr>
        <w:spacing w:before="180" w:after="180"/>
        <w:rPr>
          <w:rFonts w:ascii="Calibri" w:eastAsia="Calibri" w:hAnsi="Calibri"/>
          <w:sz w:val="22"/>
          <w:szCs w:val="22"/>
        </w:rPr>
      </w:pPr>
      <w:r>
        <w:rPr>
          <w:rFonts w:ascii="Calibri" w:eastAsia="Calibri" w:hAnsi="Calibri"/>
          <w:sz w:val="22"/>
          <w:szCs w:val="22"/>
        </w:rPr>
        <w:t>2.- Hitzarmen hau interpretatzean eta betetzean sortzen diren auziak administrazioarekiko auzien jurisdikzioaren ardurapekoak eta eskumenekoak izango dira.</w:t>
      </w:r>
    </w:p>
    <w:p w14:paraId="4A8EC96F" w14:textId="18057F2B" w:rsidR="00481F16" w:rsidRDefault="00170EF2">
      <w:pPr>
        <w:spacing w:after="160" w:line="259" w:lineRule="auto"/>
        <w:rPr>
          <w:rFonts w:ascii="Calibri" w:eastAsia="Calibri" w:hAnsi="Calibri"/>
          <w:sz w:val="22"/>
          <w:szCs w:val="22"/>
        </w:rPr>
      </w:pPr>
      <w:r>
        <w:rPr>
          <w:rFonts w:ascii="Calibri" w:eastAsia="Calibri" w:hAnsi="Calibri"/>
          <w:sz w:val="22"/>
          <w:szCs w:val="22"/>
        </w:rPr>
        <w:t xml:space="preserve">Eta ados daudela adierazteko, Turismo, Merkataritza eta Kontsumoko sailburu Javier Hurtado Domínguezek eta Arabako diputatu nagusi </w:t>
      </w:r>
      <w:proofErr w:type="spellStart"/>
      <w:r>
        <w:rPr>
          <w:rFonts w:ascii="Calibri" w:eastAsia="Calibri" w:hAnsi="Calibri"/>
          <w:sz w:val="22"/>
          <w:szCs w:val="22"/>
        </w:rPr>
        <w:t>Ramiro</w:t>
      </w:r>
      <w:proofErr w:type="spellEnd"/>
      <w:r>
        <w:rPr>
          <w:rFonts w:ascii="Calibri" w:eastAsia="Calibri" w:hAnsi="Calibri"/>
          <w:sz w:val="22"/>
          <w:szCs w:val="22"/>
        </w:rPr>
        <w:t xml:space="preserve"> González Vicentek hitzarmen honen bi ale sinatu dituzte.</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4867"/>
      </w:tblGrid>
      <w:tr w:rsidR="00481F16" w14:paraId="3E134A1B" w14:textId="77777777">
        <w:trPr>
          <w:trHeight w:val="2716"/>
        </w:trPr>
        <w:tc>
          <w:tcPr>
            <w:tcW w:w="4286" w:type="dxa"/>
          </w:tcPr>
          <w:p w14:paraId="5947D333" w14:textId="40F5D3B8" w:rsidR="00481F16" w:rsidRDefault="00170EF2">
            <w:pPr>
              <w:spacing w:before="240" w:after="240"/>
              <w:ind w:left="425" w:hanging="425"/>
              <w:rPr>
                <w:rFonts w:ascii="Calibri" w:hAnsi="Calibri" w:cs="Calibri"/>
                <w:bCs/>
              </w:rPr>
            </w:pPr>
            <w:r>
              <w:rPr>
                <w:rFonts w:ascii="Calibri" w:hAnsi="Calibri" w:cs="Calibri"/>
                <w:bCs/>
              </w:rPr>
              <w:t xml:space="preserve">Vitoria-Gasteiz, 2022ko </w:t>
            </w:r>
            <w:proofErr w:type="spellStart"/>
            <w:r>
              <w:rPr>
                <w:rFonts w:ascii="Calibri" w:hAnsi="Calibri" w:cs="Calibri"/>
                <w:bCs/>
              </w:rPr>
              <w:t>xxxxxxxaren</w:t>
            </w:r>
            <w:proofErr w:type="spellEnd"/>
            <w:r>
              <w:rPr>
                <w:rFonts w:ascii="Calibri" w:hAnsi="Calibri" w:cs="Calibri"/>
                <w:bCs/>
              </w:rPr>
              <w:t xml:space="preserve"> x (a)</w:t>
            </w:r>
          </w:p>
          <w:p w14:paraId="340EB129" w14:textId="77777777" w:rsidR="00481F16" w:rsidRDefault="00481F16">
            <w:pPr>
              <w:spacing w:before="240" w:after="240"/>
              <w:rPr>
                <w:rFonts w:ascii="Calibri" w:hAnsi="Calibri" w:cs="Calibri"/>
                <w:bCs/>
              </w:rPr>
            </w:pPr>
          </w:p>
          <w:p w14:paraId="18638D0E" w14:textId="7E9F2258" w:rsidR="00481F16" w:rsidRDefault="00170EF2">
            <w:pPr>
              <w:spacing w:before="240" w:after="240"/>
              <w:ind w:hanging="532"/>
              <w:jc w:val="center"/>
              <w:rPr>
                <w:rFonts w:ascii="Calibri" w:hAnsi="Calibri" w:cs="Calibri"/>
                <w:b/>
                <w:bCs/>
              </w:rPr>
            </w:pPr>
            <w:r>
              <w:rPr>
                <w:rFonts w:ascii="Calibri" w:hAnsi="Calibri" w:cs="Calibri"/>
                <w:b/>
                <w:bCs/>
              </w:rPr>
              <w:t>Javier Hurtado Dominguez</w:t>
            </w:r>
          </w:p>
          <w:p w14:paraId="14802206" w14:textId="7F778845" w:rsidR="00481F16" w:rsidRDefault="00170EF2">
            <w:pPr>
              <w:spacing w:before="240" w:after="240"/>
              <w:ind w:left="317" w:hanging="532"/>
              <w:jc w:val="center"/>
              <w:rPr>
                <w:rFonts w:ascii="Calibri" w:hAnsi="Calibri" w:cs="Calibri"/>
                <w:b/>
                <w:bCs/>
              </w:rPr>
            </w:pPr>
            <w:r>
              <w:rPr>
                <w:rFonts w:ascii="Calibri" w:hAnsi="Calibri" w:cs="Calibri"/>
                <w:b/>
                <w:bCs/>
              </w:rPr>
              <w:t>Turismo, Merkataritza eta Kontsumoko sailburua</w:t>
            </w:r>
          </w:p>
        </w:tc>
        <w:tc>
          <w:tcPr>
            <w:tcW w:w="4867" w:type="dxa"/>
          </w:tcPr>
          <w:p w14:paraId="12A60ABD" w14:textId="77777777" w:rsidR="00481F16" w:rsidRDefault="00481F16">
            <w:pPr>
              <w:spacing w:before="240" w:after="240"/>
              <w:ind w:left="2124" w:hanging="2124"/>
              <w:jc w:val="center"/>
              <w:rPr>
                <w:rFonts w:ascii="Calibri" w:hAnsi="Calibri" w:cs="Calibri"/>
                <w:b/>
                <w:bCs/>
              </w:rPr>
            </w:pPr>
          </w:p>
          <w:p w14:paraId="081EF250" w14:textId="77777777" w:rsidR="00481F16" w:rsidRDefault="00481F16">
            <w:pPr>
              <w:spacing w:before="240" w:after="240"/>
              <w:ind w:left="2124" w:hanging="2124"/>
              <w:jc w:val="center"/>
              <w:rPr>
                <w:rFonts w:ascii="Calibri" w:hAnsi="Calibri" w:cs="Calibri"/>
                <w:b/>
                <w:bCs/>
              </w:rPr>
            </w:pPr>
          </w:p>
          <w:p w14:paraId="02063A3E" w14:textId="6788EB75" w:rsidR="00481F16" w:rsidRDefault="00170EF2">
            <w:pPr>
              <w:spacing w:before="240" w:after="240"/>
              <w:ind w:left="2124" w:hanging="2124"/>
              <w:jc w:val="center"/>
              <w:rPr>
                <w:rFonts w:ascii="Calibri" w:hAnsi="Calibri" w:cs="Calibri"/>
                <w:b/>
                <w:bCs/>
              </w:rPr>
            </w:pPr>
            <w:proofErr w:type="spellStart"/>
            <w:r>
              <w:rPr>
                <w:rFonts w:ascii="Calibri" w:hAnsi="Calibri" w:cs="Calibri"/>
                <w:b/>
                <w:bCs/>
              </w:rPr>
              <w:t>Ramiro</w:t>
            </w:r>
            <w:proofErr w:type="spellEnd"/>
            <w:r>
              <w:rPr>
                <w:rFonts w:ascii="Calibri" w:hAnsi="Calibri" w:cs="Calibri"/>
                <w:b/>
                <w:bCs/>
              </w:rPr>
              <w:t xml:space="preserve"> González Vicente</w:t>
            </w:r>
          </w:p>
          <w:p w14:paraId="06F69DE0" w14:textId="03DCE2B6" w:rsidR="00481F16" w:rsidRDefault="00170EF2">
            <w:pPr>
              <w:spacing w:before="240" w:after="240"/>
              <w:ind w:left="601" w:right="35" w:hanging="601"/>
              <w:jc w:val="center"/>
              <w:rPr>
                <w:rFonts w:ascii="Calibri" w:hAnsi="Calibri" w:cs="Calibri"/>
                <w:b/>
                <w:bCs/>
              </w:rPr>
            </w:pPr>
            <w:r>
              <w:rPr>
                <w:rFonts w:ascii="Calibri" w:hAnsi="Calibri" w:cs="Calibri"/>
                <w:b/>
                <w:bCs/>
              </w:rPr>
              <w:t>Arabako diputatu nagusia</w:t>
            </w:r>
          </w:p>
        </w:tc>
      </w:tr>
    </w:tbl>
    <w:p w14:paraId="0195A26A" w14:textId="73C25CF2" w:rsidR="00481F16" w:rsidRDefault="00481F16">
      <w:pPr>
        <w:autoSpaceDE w:val="0"/>
        <w:autoSpaceDN w:val="0"/>
        <w:adjustRightInd w:val="0"/>
        <w:spacing w:after="240" w:line="288" w:lineRule="auto"/>
        <w:rPr>
          <w:rFonts w:ascii="Verdana" w:hAnsi="Verdana" w:cs="Arial"/>
          <w:shd w:val="clear" w:color="auto" w:fill="FFFFFF"/>
        </w:rPr>
      </w:pPr>
    </w:p>
    <w:sectPr w:rsidR="00481F16">
      <w:headerReference w:type="default" r:id="rId13"/>
      <w:pgSz w:w="11907" w:h="16840" w:code="9"/>
      <w:pgMar w:top="1276" w:right="992" w:bottom="851" w:left="1440" w:header="284"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EE404" w14:textId="77777777" w:rsidR="00481F16" w:rsidRDefault="00170EF2">
      <w:r>
        <w:separator/>
      </w:r>
    </w:p>
  </w:endnote>
  <w:endnote w:type="continuationSeparator" w:id="0">
    <w:p w14:paraId="6C496A24" w14:textId="77777777" w:rsidR="00481F16" w:rsidRDefault="00170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Garamond Pro">
    <w:charset w:val="00"/>
    <w:family w:val="auto"/>
    <w:pitch w:val="default"/>
  </w:font>
  <w:font w:name="Helvetica-Narrow">
    <w:altName w:val="Arial Narro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14E03" w14:textId="77777777" w:rsidR="00481F16" w:rsidRDefault="00170EF2">
      <w:r>
        <w:separator/>
      </w:r>
    </w:p>
  </w:footnote>
  <w:footnote w:type="continuationSeparator" w:id="0">
    <w:p w14:paraId="3EC97B7E" w14:textId="77777777" w:rsidR="00481F16" w:rsidRDefault="00170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5667" w14:textId="77777777" w:rsidR="00481F16" w:rsidRDefault="00170EF2">
    <w:pPr>
      <w:pStyle w:val="Encabezado"/>
      <w:jc w:val="center"/>
    </w:pPr>
    <w:r>
      <w:rPr>
        <w:noProof/>
        <w:lang w:val="es-ES"/>
      </w:rPr>
      <w:drawing>
        <wp:inline distT="0" distB="0" distL="0" distR="0" wp14:anchorId="7844BC65" wp14:editId="7FFC5E1B">
          <wp:extent cx="2516094" cy="45913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j_turismo_hori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954" cy="487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Ttulo1"/>
      <w:lvlText w:val="%1."/>
      <w:legacy w:legacy="1" w:legacySpace="144" w:legacyIndent="0"/>
      <w:lvlJc w:val="left"/>
      <w:pPr>
        <w:ind w:left="567" w:firstLine="0"/>
      </w:pPr>
    </w:lvl>
    <w:lvl w:ilvl="1">
      <w:start w:val="1"/>
      <w:numFmt w:val="decimal"/>
      <w:pStyle w:val="Ttulo2"/>
      <w:lvlText w:val="%1.%2"/>
      <w:legacy w:legacy="1" w:legacySpace="144" w:legacyIndent="0"/>
      <w:lvlJc w:val="left"/>
    </w:lvl>
    <w:lvl w:ilvl="2">
      <w:start w:val="1"/>
      <w:numFmt w:val="decimal"/>
      <w:pStyle w:val="Ttulo3"/>
      <w:lvlText w:val="%1.%2.%3"/>
      <w:legacy w:legacy="1" w:legacySpace="144" w:legacyIndent="0"/>
      <w:lvlJc w:val="left"/>
    </w:lvl>
    <w:lvl w:ilvl="3">
      <w:start w:val="1"/>
      <w:numFmt w:val="decimal"/>
      <w:pStyle w:val="Ttulo4"/>
      <w:lvlText w:val="%1.%2.%3.%4"/>
      <w:legacy w:legacy="1" w:legacySpace="144" w:legacyIndent="0"/>
      <w:lvlJc w:val="left"/>
    </w:lvl>
    <w:lvl w:ilvl="4">
      <w:start w:val="1"/>
      <w:numFmt w:val="decimal"/>
      <w:pStyle w:val="Ttulo5"/>
      <w:lvlText w:val="%1.%2.%3.%4.%5"/>
      <w:legacy w:legacy="1" w:legacySpace="144" w:legacyIndent="0"/>
      <w:lvlJc w:val="left"/>
    </w:lvl>
    <w:lvl w:ilvl="5">
      <w:start w:val="1"/>
      <w:numFmt w:val="decimal"/>
      <w:pStyle w:val="Ttulo6"/>
      <w:lvlText w:val="%1.%2.%3.%4.%5.%6"/>
      <w:legacy w:legacy="1" w:legacySpace="144" w:legacyIndent="0"/>
      <w:lvlJc w:val="left"/>
    </w:lvl>
    <w:lvl w:ilvl="6">
      <w:start w:val="1"/>
      <w:numFmt w:val="decimal"/>
      <w:pStyle w:val="Ttulo7"/>
      <w:lvlText w:val="%1.%2.%3.%4.%5.%6.%7"/>
      <w:legacy w:legacy="1" w:legacySpace="144" w:legacyIndent="0"/>
      <w:lvlJc w:val="left"/>
    </w:lvl>
    <w:lvl w:ilvl="7">
      <w:start w:val="1"/>
      <w:numFmt w:val="decimal"/>
      <w:pStyle w:val="Ttulo8"/>
      <w:lvlText w:val="%1.%2.%3.%4.%5.%6.%7.%8"/>
      <w:legacy w:legacy="1" w:legacySpace="144" w:legacyIndent="0"/>
      <w:lvlJc w:val="left"/>
    </w:lvl>
    <w:lvl w:ilvl="8">
      <w:start w:val="1"/>
      <w:numFmt w:val="decimal"/>
      <w:pStyle w:val="Ttulo9"/>
      <w:lvlText w:val="%1.%2.%3.%4.%5.%6.%7.%8.%9"/>
      <w:legacy w:legacy="1" w:legacySpace="144" w:legacyIndent="0"/>
      <w:lvlJc w:val="left"/>
    </w:lvl>
  </w:abstractNum>
  <w:abstractNum w:abstractNumId="1" w15:restartNumberingAfterBreak="0">
    <w:nsid w:val="013E5A46"/>
    <w:multiLevelType w:val="hybridMultilevel"/>
    <w:tmpl w:val="24261886"/>
    <w:lvl w:ilvl="0" w:tplc="087CF35A">
      <w:numFmt w:val="bullet"/>
      <w:lvlText w:val=""/>
      <w:lvlJc w:val="left"/>
      <w:pPr>
        <w:ind w:left="720" w:hanging="360"/>
      </w:pPr>
      <w:rPr>
        <w:rFonts w:ascii="Symbol" w:eastAsiaTheme="minorHAnsi" w:hAnsi="Symbol" w:cs="Segoe UI Semilight" w:hint="default"/>
      </w:rPr>
    </w:lvl>
    <w:lvl w:ilvl="1" w:tplc="9CDAC680">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801CA9"/>
    <w:multiLevelType w:val="hybridMultilevel"/>
    <w:tmpl w:val="6A56DD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480AF3"/>
    <w:multiLevelType w:val="hybridMultilevel"/>
    <w:tmpl w:val="9B2C61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2856BF"/>
    <w:multiLevelType w:val="hybridMultilevel"/>
    <w:tmpl w:val="C56420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632E9A"/>
    <w:multiLevelType w:val="hybridMultilevel"/>
    <w:tmpl w:val="787E06FA"/>
    <w:lvl w:ilvl="0" w:tplc="9D1834FE">
      <w:start w:val="6"/>
      <w:numFmt w:val="bullet"/>
      <w:lvlText w:val="-"/>
      <w:lvlJc w:val="left"/>
      <w:pPr>
        <w:ind w:left="720" w:hanging="360"/>
      </w:pPr>
      <w:rPr>
        <w:rFonts w:ascii="Times New Roman" w:eastAsia="Times New Roman" w:hAnsi="Times New Roman" w:cs="Times New Roman" w:hint="default"/>
        <w:b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DDB4386"/>
    <w:multiLevelType w:val="hybridMultilevel"/>
    <w:tmpl w:val="775EE20A"/>
    <w:lvl w:ilvl="0" w:tplc="087CF35A">
      <w:numFmt w:val="bullet"/>
      <w:lvlText w:val=""/>
      <w:lvlJc w:val="left"/>
      <w:pPr>
        <w:ind w:left="720" w:hanging="360"/>
      </w:pPr>
      <w:rPr>
        <w:rFonts w:ascii="Symbol" w:eastAsiaTheme="minorHAnsi" w:hAnsi="Symbol" w:cs="Segoe UI Semi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CC1347"/>
    <w:multiLevelType w:val="hybridMultilevel"/>
    <w:tmpl w:val="626640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0FA7FC7"/>
    <w:multiLevelType w:val="hybridMultilevel"/>
    <w:tmpl w:val="873A45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B752AD"/>
    <w:multiLevelType w:val="hybridMultilevel"/>
    <w:tmpl w:val="0340EA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95E6BBC"/>
    <w:multiLevelType w:val="hybridMultilevel"/>
    <w:tmpl w:val="3C04EE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F762B84"/>
    <w:multiLevelType w:val="hybridMultilevel"/>
    <w:tmpl w:val="2572E3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3646538"/>
    <w:multiLevelType w:val="hybridMultilevel"/>
    <w:tmpl w:val="C0643A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3791874"/>
    <w:multiLevelType w:val="hybridMultilevel"/>
    <w:tmpl w:val="78E44920"/>
    <w:lvl w:ilvl="0" w:tplc="98E8AC16">
      <w:start w:val="1"/>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8C0093C"/>
    <w:multiLevelType w:val="hybridMultilevel"/>
    <w:tmpl w:val="FE220B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9B70758"/>
    <w:multiLevelType w:val="hybridMultilevel"/>
    <w:tmpl w:val="C56420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8C7B93"/>
    <w:multiLevelType w:val="hybridMultilevel"/>
    <w:tmpl w:val="ED2C4F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CDD51B0"/>
    <w:multiLevelType w:val="hybridMultilevel"/>
    <w:tmpl w:val="9D1A5C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F6B64EC"/>
    <w:multiLevelType w:val="hybridMultilevel"/>
    <w:tmpl w:val="37AAD9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2912FC4"/>
    <w:multiLevelType w:val="hybridMultilevel"/>
    <w:tmpl w:val="42225F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44030A4"/>
    <w:multiLevelType w:val="hybridMultilevel"/>
    <w:tmpl w:val="823495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75E49A1"/>
    <w:multiLevelType w:val="hybridMultilevel"/>
    <w:tmpl w:val="F8208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9930C52"/>
    <w:multiLevelType w:val="hybridMultilevel"/>
    <w:tmpl w:val="BC1875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D2325C4"/>
    <w:multiLevelType w:val="hybridMultilevel"/>
    <w:tmpl w:val="448617AE"/>
    <w:lvl w:ilvl="0" w:tplc="7C705B62">
      <w:start w:val="12"/>
      <w:numFmt w:val="bullet"/>
      <w:lvlText w:val="-"/>
      <w:lvlJc w:val="left"/>
      <w:pPr>
        <w:ind w:left="720" w:hanging="360"/>
      </w:pPr>
      <w:rPr>
        <w:rFonts w:ascii="Times New Roman" w:eastAsia="Times New Roman" w:hAnsi="Times New Roman" w:cs="Times New Roman" w:hint="default"/>
        <w:b w:val="0"/>
        <w:u w:val="none"/>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F630091"/>
    <w:multiLevelType w:val="hybridMultilevel"/>
    <w:tmpl w:val="CD249AB0"/>
    <w:lvl w:ilvl="0" w:tplc="34EA6FB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46509BA"/>
    <w:multiLevelType w:val="hybridMultilevel"/>
    <w:tmpl w:val="C56420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750098A"/>
    <w:multiLevelType w:val="hybridMultilevel"/>
    <w:tmpl w:val="4AF62B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8407888"/>
    <w:multiLevelType w:val="hybridMultilevel"/>
    <w:tmpl w:val="96D8755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0B16287"/>
    <w:multiLevelType w:val="multilevel"/>
    <w:tmpl w:val="36362E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651304B"/>
    <w:multiLevelType w:val="hybridMultilevel"/>
    <w:tmpl w:val="63927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D6A71FB"/>
    <w:multiLevelType w:val="hybridMultilevel"/>
    <w:tmpl w:val="3C04EE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FCF4ABF"/>
    <w:multiLevelType w:val="hybridMultilevel"/>
    <w:tmpl w:val="A198E160"/>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2" w15:restartNumberingAfterBreak="0">
    <w:nsid w:val="60A14DE8"/>
    <w:multiLevelType w:val="hybridMultilevel"/>
    <w:tmpl w:val="D286F4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D90D7A"/>
    <w:multiLevelType w:val="hybridMultilevel"/>
    <w:tmpl w:val="FD24FC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66A076A"/>
    <w:multiLevelType w:val="hybridMultilevel"/>
    <w:tmpl w:val="46D24512"/>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35" w15:restartNumberingAfterBreak="0">
    <w:nsid w:val="7A3B75EF"/>
    <w:multiLevelType w:val="hybridMultilevel"/>
    <w:tmpl w:val="250A63B4"/>
    <w:lvl w:ilvl="0" w:tplc="34EA6FB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D2D0A30"/>
    <w:multiLevelType w:val="hybridMultilevel"/>
    <w:tmpl w:val="22B60C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DEF07FF"/>
    <w:multiLevelType w:val="hybridMultilevel"/>
    <w:tmpl w:val="D136AB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86472721">
    <w:abstractNumId w:val="0"/>
  </w:num>
  <w:num w:numId="2" w16cid:durableId="44178774">
    <w:abstractNumId w:val="23"/>
  </w:num>
  <w:num w:numId="3" w16cid:durableId="642078096">
    <w:abstractNumId w:val="11"/>
  </w:num>
  <w:num w:numId="4" w16cid:durableId="45498193">
    <w:abstractNumId w:val="27"/>
  </w:num>
  <w:num w:numId="5" w16cid:durableId="1307903123">
    <w:abstractNumId w:val="36"/>
  </w:num>
  <w:num w:numId="6" w16cid:durableId="1715547002">
    <w:abstractNumId w:val="16"/>
  </w:num>
  <w:num w:numId="7" w16cid:durableId="1575044788">
    <w:abstractNumId w:val="26"/>
  </w:num>
  <w:num w:numId="8" w16cid:durableId="299041783">
    <w:abstractNumId w:val="3"/>
  </w:num>
  <w:num w:numId="9" w16cid:durableId="41684855">
    <w:abstractNumId w:val="37"/>
  </w:num>
  <w:num w:numId="10" w16cid:durableId="600181862">
    <w:abstractNumId w:val="12"/>
  </w:num>
  <w:num w:numId="11" w16cid:durableId="1253050187">
    <w:abstractNumId w:val="19"/>
  </w:num>
  <w:num w:numId="12" w16cid:durableId="928854187">
    <w:abstractNumId w:val="20"/>
  </w:num>
  <w:num w:numId="13" w16cid:durableId="350839004">
    <w:abstractNumId w:val="10"/>
  </w:num>
  <w:num w:numId="14" w16cid:durableId="986741082">
    <w:abstractNumId w:val="30"/>
  </w:num>
  <w:num w:numId="15" w16cid:durableId="559681727">
    <w:abstractNumId w:val="18"/>
  </w:num>
  <w:num w:numId="16" w16cid:durableId="1433283047">
    <w:abstractNumId w:val="8"/>
  </w:num>
  <w:num w:numId="17" w16cid:durableId="1205798604">
    <w:abstractNumId w:val="5"/>
  </w:num>
  <w:num w:numId="18" w16cid:durableId="611593457">
    <w:abstractNumId w:val="32"/>
  </w:num>
  <w:num w:numId="19" w16cid:durableId="1228682640">
    <w:abstractNumId w:val="29"/>
  </w:num>
  <w:num w:numId="20" w16cid:durableId="751662326">
    <w:abstractNumId w:val="35"/>
  </w:num>
  <w:num w:numId="21" w16cid:durableId="697317934">
    <w:abstractNumId w:val="24"/>
  </w:num>
  <w:num w:numId="22" w16cid:durableId="1429547163">
    <w:abstractNumId w:val="17"/>
  </w:num>
  <w:num w:numId="23" w16cid:durableId="1744983535">
    <w:abstractNumId w:val="6"/>
  </w:num>
  <w:num w:numId="24" w16cid:durableId="1610775488">
    <w:abstractNumId w:val="1"/>
  </w:num>
  <w:num w:numId="25" w16cid:durableId="358355019">
    <w:abstractNumId w:val="31"/>
  </w:num>
  <w:num w:numId="26" w16cid:durableId="1024983819">
    <w:abstractNumId w:val="34"/>
  </w:num>
  <w:num w:numId="27" w16cid:durableId="800656132">
    <w:abstractNumId w:val="25"/>
  </w:num>
  <w:num w:numId="28" w16cid:durableId="201865283">
    <w:abstractNumId w:val="14"/>
  </w:num>
  <w:num w:numId="29" w16cid:durableId="2045711812">
    <w:abstractNumId w:val="15"/>
  </w:num>
  <w:num w:numId="30" w16cid:durableId="1332374522">
    <w:abstractNumId w:val="4"/>
  </w:num>
  <w:num w:numId="31" w16cid:durableId="1284733419">
    <w:abstractNumId w:val="33"/>
  </w:num>
  <w:num w:numId="32" w16cid:durableId="765686344">
    <w:abstractNumId w:val="13"/>
  </w:num>
  <w:num w:numId="33" w16cid:durableId="2135881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1499453">
    <w:abstractNumId w:val="7"/>
  </w:num>
  <w:num w:numId="35" w16cid:durableId="1248071615">
    <w:abstractNumId w:val="2"/>
  </w:num>
  <w:num w:numId="36" w16cid:durableId="43411255">
    <w:abstractNumId w:val="22"/>
  </w:num>
  <w:num w:numId="37" w16cid:durableId="987052841">
    <w:abstractNumId w:val="9"/>
  </w:num>
  <w:num w:numId="38" w16cid:durableId="3447460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s-ES_tradnl" w:vendorID="9" w:dllVersion="512" w:checkStyle="1"/>
  <w:activeWritingStyle w:appName="MSWord" w:lang="eu-ES" w:vendorID="13" w:dllVersion="512"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5"/>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D4C"/>
    <w:rsid w:val="0000314F"/>
    <w:rsid w:val="000060CE"/>
    <w:rsid w:val="0001451A"/>
    <w:rsid w:val="00014A51"/>
    <w:rsid w:val="00015450"/>
    <w:rsid w:val="00025025"/>
    <w:rsid w:val="000329DC"/>
    <w:rsid w:val="000370B6"/>
    <w:rsid w:val="0004126B"/>
    <w:rsid w:val="00041309"/>
    <w:rsid w:val="000414A2"/>
    <w:rsid w:val="00044A50"/>
    <w:rsid w:val="00045601"/>
    <w:rsid w:val="0005039B"/>
    <w:rsid w:val="000546EC"/>
    <w:rsid w:val="00055F65"/>
    <w:rsid w:val="0005648F"/>
    <w:rsid w:val="00056F0F"/>
    <w:rsid w:val="00065CE6"/>
    <w:rsid w:val="00070945"/>
    <w:rsid w:val="00095680"/>
    <w:rsid w:val="00095E0E"/>
    <w:rsid w:val="000C09B1"/>
    <w:rsid w:val="000C43BB"/>
    <w:rsid w:val="000D4139"/>
    <w:rsid w:val="000D7846"/>
    <w:rsid w:val="000E31C5"/>
    <w:rsid w:val="000E4708"/>
    <w:rsid w:val="000E7902"/>
    <w:rsid w:val="00100EFB"/>
    <w:rsid w:val="0010406C"/>
    <w:rsid w:val="001145E1"/>
    <w:rsid w:val="001171CF"/>
    <w:rsid w:val="00125D79"/>
    <w:rsid w:val="0013291D"/>
    <w:rsid w:val="001331CD"/>
    <w:rsid w:val="00137006"/>
    <w:rsid w:val="00140E27"/>
    <w:rsid w:val="00150B9F"/>
    <w:rsid w:val="00153167"/>
    <w:rsid w:val="00161BAD"/>
    <w:rsid w:val="00170EF2"/>
    <w:rsid w:val="00185251"/>
    <w:rsid w:val="00192D4E"/>
    <w:rsid w:val="00193350"/>
    <w:rsid w:val="0019371D"/>
    <w:rsid w:val="001971A1"/>
    <w:rsid w:val="001B0C08"/>
    <w:rsid w:val="001B497B"/>
    <w:rsid w:val="001C120A"/>
    <w:rsid w:val="001C4C81"/>
    <w:rsid w:val="001D2124"/>
    <w:rsid w:val="001D489D"/>
    <w:rsid w:val="001D6D53"/>
    <w:rsid w:val="001E4402"/>
    <w:rsid w:val="001E6568"/>
    <w:rsid w:val="001E7400"/>
    <w:rsid w:val="001F2C89"/>
    <w:rsid w:val="00200D4A"/>
    <w:rsid w:val="002010AD"/>
    <w:rsid w:val="00206649"/>
    <w:rsid w:val="00207D8B"/>
    <w:rsid w:val="00212BB0"/>
    <w:rsid w:val="002313CA"/>
    <w:rsid w:val="00234BBD"/>
    <w:rsid w:val="0023587D"/>
    <w:rsid w:val="00241E0C"/>
    <w:rsid w:val="0024736F"/>
    <w:rsid w:val="00247B20"/>
    <w:rsid w:val="002545B9"/>
    <w:rsid w:val="002568B2"/>
    <w:rsid w:val="00257955"/>
    <w:rsid w:val="00265C8B"/>
    <w:rsid w:val="00266024"/>
    <w:rsid w:val="00270B0D"/>
    <w:rsid w:val="00272669"/>
    <w:rsid w:val="00275DCB"/>
    <w:rsid w:val="00280C7C"/>
    <w:rsid w:val="0028490A"/>
    <w:rsid w:val="002854D6"/>
    <w:rsid w:val="00286839"/>
    <w:rsid w:val="00292E85"/>
    <w:rsid w:val="00292FE9"/>
    <w:rsid w:val="00296783"/>
    <w:rsid w:val="00297F67"/>
    <w:rsid w:val="002A003B"/>
    <w:rsid w:val="002A51EE"/>
    <w:rsid w:val="002B4DB5"/>
    <w:rsid w:val="002C10EF"/>
    <w:rsid w:val="002C523D"/>
    <w:rsid w:val="002C6A6F"/>
    <w:rsid w:val="002D1CAD"/>
    <w:rsid w:val="002D74A5"/>
    <w:rsid w:val="002F06A7"/>
    <w:rsid w:val="003009F6"/>
    <w:rsid w:val="003131B0"/>
    <w:rsid w:val="00316946"/>
    <w:rsid w:val="003218B4"/>
    <w:rsid w:val="003218EE"/>
    <w:rsid w:val="003223AC"/>
    <w:rsid w:val="00325704"/>
    <w:rsid w:val="003257A9"/>
    <w:rsid w:val="00325A27"/>
    <w:rsid w:val="003311D5"/>
    <w:rsid w:val="003475AE"/>
    <w:rsid w:val="00361BA3"/>
    <w:rsid w:val="00363BD1"/>
    <w:rsid w:val="003727D6"/>
    <w:rsid w:val="00373677"/>
    <w:rsid w:val="0037391F"/>
    <w:rsid w:val="0037685A"/>
    <w:rsid w:val="00380341"/>
    <w:rsid w:val="0038214F"/>
    <w:rsid w:val="00382464"/>
    <w:rsid w:val="003843E3"/>
    <w:rsid w:val="0039053B"/>
    <w:rsid w:val="00390C6F"/>
    <w:rsid w:val="00391E8E"/>
    <w:rsid w:val="0039216C"/>
    <w:rsid w:val="00394A94"/>
    <w:rsid w:val="00396616"/>
    <w:rsid w:val="003A2CDD"/>
    <w:rsid w:val="003A5807"/>
    <w:rsid w:val="003B7060"/>
    <w:rsid w:val="003B7B90"/>
    <w:rsid w:val="003C1D9C"/>
    <w:rsid w:val="003C28D7"/>
    <w:rsid w:val="003D66BF"/>
    <w:rsid w:val="003E7BFE"/>
    <w:rsid w:val="003F3D1D"/>
    <w:rsid w:val="00402D63"/>
    <w:rsid w:val="0040455A"/>
    <w:rsid w:val="00407B27"/>
    <w:rsid w:val="004104B0"/>
    <w:rsid w:val="00411501"/>
    <w:rsid w:val="00412962"/>
    <w:rsid w:val="0041297D"/>
    <w:rsid w:val="00422781"/>
    <w:rsid w:val="00435105"/>
    <w:rsid w:val="00442BCE"/>
    <w:rsid w:val="00450F3D"/>
    <w:rsid w:val="0045196A"/>
    <w:rsid w:val="0046698A"/>
    <w:rsid w:val="00467F3B"/>
    <w:rsid w:val="00475F8C"/>
    <w:rsid w:val="00481F16"/>
    <w:rsid w:val="00483DF8"/>
    <w:rsid w:val="00484CB3"/>
    <w:rsid w:val="00486829"/>
    <w:rsid w:val="00494037"/>
    <w:rsid w:val="004978E0"/>
    <w:rsid w:val="004B3034"/>
    <w:rsid w:val="004C0849"/>
    <w:rsid w:val="004D3041"/>
    <w:rsid w:val="004D41FF"/>
    <w:rsid w:val="004E46AB"/>
    <w:rsid w:val="004F0D09"/>
    <w:rsid w:val="004F2B01"/>
    <w:rsid w:val="004F38BC"/>
    <w:rsid w:val="004F5132"/>
    <w:rsid w:val="00500244"/>
    <w:rsid w:val="005052CE"/>
    <w:rsid w:val="00507BA9"/>
    <w:rsid w:val="005124A2"/>
    <w:rsid w:val="00517090"/>
    <w:rsid w:val="00531B16"/>
    <w:rsid w:val="00550FB8"/>
    <w:rsid w:val="005560A1"/>
    <w:rsid w:val="005570BC"/>
    <w:rsid w:val="00561EC9"/>
    <w:rsid w:val="00565860"/>
    <w:rsid w:val="00571945"/>
    <w:rsid w:val="00582FB7"/>
    <w:rsid w:val="005910FE"/>
    <w:rsid w:val="005928D8"/>
    <w:rsid w:val="005A1DEF"/>
    <w:rsid w:val="005A1EEF"/>
    <w:rsid w:val="005B33EB"/>
    <w:rsid w:val="005B6AC1"/>
    <w:rsid w:val="005C30B4"/>
    <w:rsid w:val="005D24FC"/>
    <w:rsid w:val="005D3C18"/>
    <w:rsid w:val="005E3C4F"/>
    <w:rsid w:val="005E4057"/>
    <w:rsid w:val="005F2896"/>
    <w:rsid w:val="005F57ED"/>
    <w:rsid w:val="00602C23"/>
    <w:rsid w:val="006059EF"/>
    <w:rsid w:val="00612EEE"/>
    <w:rsid w:val="00615306"/>
    <w:rsid w:val="00624CD3"/>
    <w:rsid w:val="00627F34"/>
    <w:rsid w:val="00632253"/>
    <w:rsid w:val="006329A0"/>
    <w:rsid w:val="006332E9"/>
    <w:rsid w:val="0063510E"/>
    <w:rsid w:val="00640287"/>
    <w:rsid w:val="00644444"/>
    <w:rsid w:val="0064761F"/>
    <w:rsid w:val="0065105B"/>
    <w:rsid w:val="006545CA"/>
    <w:rsid w:val="00661897"/>
    <w:rsid w:val="00667A43"/>
    <w:rsid w:val="00671766"/>
    <w:rsid w:val="00675816"/>
    <w:rsid w:val="0067699B"/>
    <w:rsid w:val="00680B98"/>
    <w:rsid w:val="00682727"/>
    <w:rsid w:val="00686335"/>
    <w:rsid w:val="00686668"/>
    <w:rsid w:val="00691D36"/>
    <w:rsid w:val="00694223"/>
    <w:rsid w:val="0069786B"/>
    <w:rsid w:val="006A058A"/>
    <w:rsid w:val="006A76D4"/>
    <w:rsid w:val="006B2467"/>
    <w:rsid w:val="006B3E8A"/>
    <w:rsid w:val="006B5A27"/>
    <w:rsid w:val="006B64C5"/>
    <w:rsid w:val="006C05E9"/>
    <w:rsid w:val="006C472A"/>
    <w:rsid w:val="006C6155"/>
    <w:rsid w:val="006D0BBF"/>
    <w:rsid w:val="006D451D"/>
    <w:rsid w:val="006D4BD0"/>
    <w:rsid w:val="006E170B"/>
    <w:rsid w:val="006F03B9"/>
    <w:rsid w:val="006F3931"/>
    <w:rsid w:val="006F40E3"/>
    <w:rsid w:val="006F615C"/>
    <w:rsid w:val="007108B6"/>
    <w:rsid w:val="00734DBC"/>
    <w:rsid w:val="0073725F"/>
    <w:rsid w:val="0074296C"/>
    <w:rsid w:val="00743270"/>
    <w:rsid w:val="007446F5"/>
    <w:rsid w:val="00745B6E"/>
    <w:rsid w:val="00750D24"/>
    <w:rsid w:val="007511DD"/>
    <w:rsid w:val="0075225F"/>
    <w:rsid w:val="007533F1"/>
    <w:rsid w:val="007538F9"/>
    <w:rsid w:val="0076753A"/>
    <w:rsid w:val="00775353"/>
    <w:rsid w:val="00777CBC"/>
    <w:rsid w:val="007809C9"/>
    <w:rsid w:val="0078185B"/>
    <w:rsid w:val="007840F3"/>
    <w:rsid w:val="00786849"/>
    <w:rsid w:val="0079418F"/>
    <w:rsid w:val="0079522D"/>
    <w:rsid w:val="00797247"/>
    <w:rsid w:val="007B7A5B"/>
    <w:rsid w:val="007C6948"/>
    <w:rsid w:val="007D266D"/>
    <w:rsid w:val="007D5D4C"/>
    <w:rsid w:val="007D6BBB"/>
    <w:rsid w:val="007D78E3"/>
    <w:rsid w:val="007E7673"/>
    <w:rsid w:val="007F41C7"/>
    <w:rsid w:val="007F56C1"/>
    <w:rsid w:val="007F6A41"/>
    <w:rsid w:val="008010FC"/>
    <w:rsid w:val="00805F8B"/>
    <w:rsid w:val="00807011"/>
    <w:rsid w:val="00820A4D"/>
    <w:rsid w:val="0082156B"/>
    <w:rsid w:val="00821BF7"/>
    <w:rsid w:val="00821CCE"/>
    <w:rsid w:val="00822CB6"/>
    <w:rsid w:val="008306D5"/>
    <w:rsid w:val="00830B93"/>
    <w:rsid w:val="008345CB"/>
    <w:rsid w:val="00835277"/>
    <w:rsid w:val="00842651"/>
    <w:rsid w:val="00842EFD"/>
    <w:rsid w:val="00846099"/>
    <w:rsid w:val="00850B56"/>
    <w:rsid w:val="008522D3"/>
    <w:rsid w:val="008525BB"/>
    <w:rsid w:val="00855217"/>
    <w:rsid w:val="00860837"/>
    <w:rsid w:val="00861A8D"/>
    <w:rsid w:val="00863E9D"/>
    <w:rsid w:val="0086431F"/>
    <w:rsid w:val="00864AF4"/>
    <w:rsid w:val="008672BD"/>
    <w:rsid w:val="008720D0"/>
    <w:rsid w:val="00875B51"/>
    <w:rsid w:val="008842A2"/>
    <w:rsid w:val="00884E2B"/>
    <w:rsid w:val="008A1717"/>
    <w:rsid w:val="008A17F1"/>
    <w:rsid w:val="008A1C02"/>
    <w:rsid w:val="008A290F"/>
    <w:rsid w:val="008B16B3"/>
    <w:rsid w:val="008B2576"/>
    <w:rsid w:val="008B5AA3"/>
    <w:rsid w:val="008C2217"/>
    <w:rsid w:val="008C25C2"/>
    <w:rsid w:val="008C3366"/>
    <w:rsid w:val="008C47E4"/>
    <w:rsid w:val="008D1C48"/>
    <w:rsid w:val="008D4149"/>
    <w:rsid w:val="008D6A6B"/>
    <w:rsid w:val="008D71FA"/>
    <w:rsid w:val="008E0DA7"/>
    <w:rsid w:val="008E292A"/>
    <w:rsid w:val="008F3E83"/>
    <w:rsid w:val="008F4E4A"/>
    <w:rsid w:val="00900A9B"/>
    <w:rsid w:val="009037DD"/>
    <w:rsid w:val="009075CD"/>
    <w:rsid w:val="00915557"/>
    <w:rsid w:val="00921F9D"/>
    <w:rsid w:val="00922429"/>
    <w:rsid w:val="0092784E"/>
    <w:rsid w:val="009328A0"/>
    <w:rsid w:val="00937316"/>
    <w:rsid w:val="0093779B"/>
    <w:rsid w:val="00940AAB"/>
    <w:rsid w:val="009446F8"/>
    <w:rsid w:val="00947FDC"/>
    <w:rsid w:val="00951353"/>
    <w:rsid w:val="00951BD7"/>
    <w:rsid w:val="009559D3"/>
    <w:rsid w:val="00967B6A"/>
    <w:rsid w:val="00972612"/>
    <w:rsid w:val="0097607A"/>
    <w:rsid w:val="0098432B"/>
    <w:rsid w:val="00987F51"/>
    <w:rsid w:val="00992517"/>
    <w:rsid w:val="00996D61"/>
    <w:rsid w:val="009B1EE4"/>
    <w:rsid w:val="009B2AC6"/>
    <w:rsid w:val="009B3AB4"/>
    <w:rsid w:val="009B6714"/>
    <w:rsid w:val="009B7DF7"/>
    <w:rsid w:val="009C233A"/>
    <w:rsid w:val="009C5CB0"/>
    <w:rsid w:val="009C5EAA"/>
    <w:rsid w:val="009C7586"/>
    <w:rsid w:val="009D4FB7"/>
    <w:rsid w:val="009D5398"/>
    <w:rsid w:val="009E3AD8"/>
    <w:rsid w:val="009F0A25"/>
    <w:rsid w:val="009F489F"/>
    <w:rsid w:val="00A02A1B"/>
    <w:rsid w:val="00A0488A"/>
    <w:rsid w:val="00A04C3E"/>
    <w:rsid w:val="00A10125"/>
    <w:rsid w:val="00A1232D"/>
    <w:rsid w:val="00A12521"/>
    <w:rsid w:val="00A14DEB"/>
    <w:rsid w:val="00A2383E"/>
    <w:rsid w:val="00A34121"/>
    <w:rsid w:val="00A346E0"/>
    <w:rsid w:val="00A430B8"/>
    <w:rsid w:val="00A5163B"/>
    <w:rsid w:val="00A543C3"/>
    <w:rsid w:val="00A63D8F"/>
    <w:rsid w:val="00A67839"/>
    <w:rsid w:val="00A70771"/>
    <w:rsid w:val="00A714E2"/>
    <w:rsid w:val="00A770BC"/>
    <w:rsid w:val="00A8405C"/>
    <w:rsid w:val="00A84A7F"/>
    <w:rsid w:val="00A911DD"/>
    <w:rsid w:val="00A919B4"/>
    <w:rsid w:val="00A93C0E"/>
    <w:rsid w:val="00AC002D"/>
    <w:rsid w:val="00AD3AE3"/>
    <w:rsid w:val="00AD3D37"/>
    <w:rsid w:val="00AE26F3"/>
    <w:rsid w:val="00AE3050"/>
    <w:rsid w:val="00AE37DF"/>
    <w:rsid w:val="00B01729"/>
    <w:rsid w:val="00B01CFB"/>
    <w:rsid w:val="00B01E2D"/>
    <w:rsid w:val="00B06A4A"/>
    <w:rsid w:val="00B12035"/>
    <w:rsid w:val="00B22131"/>
    <w:rsid w:val="00B332CD"/>
    <w:rsid w:val="00B42445"/>
    <w:rsid w:val="00B54633"/>
    <w:rsid w:val="00B56298"/>
    <w:rsid w:val="00B61D8D"/>
    <w:rsid w:val="00B75692"/>
    <w:rsid w:val="00B807A7"/>
    <w:rsid w:val="00B82D44"/>
    <w:rsid w:val="00B85E98"/>
    <w:rsid w:val="00B90390"/>
    <w:rsid w:val="00B94871"/>
    <w:rsid w:val="00BA1877"/>
    <w:rsid w:val="00BA1910"/>
    <w:rsid w:val="00BA74B9"/>
    <w:rsid w:val="00BB6466"/>
    <w:rsid w:val="00BC1B7B"/>
    <w:rsid w:val="00BC2CA6"/>
    <w:rsid w:val="00BC3D34"/>
    <w:rsid w:val="00BC3F46"/>
    <w:rsid w:val="00BC7EB9"/>
    <w:rsid w:val="00BD2509"/>
    <w:rsid w:val="00BD684E"/>
    <w:rsid w:val="00BE55F5"/>
    <w:rsid w:val="00BE66A2"/>
    <w:rsid w:val="00BF713C"/>
    <w:rsid w:val="00C04295"/>
    <w:rsid w:val="00C053BD"/>
    <w:rsid w:val="00C054B7"/>
    <w:rsid w:val="00C0752A"/>
    <w:rsid w:val="00C11057"/>
    <w:rsid w:val="00C17C3F"/>
    <w:rsid w:val="00C40953"/>
    <w:rsid w:val="00C51668"/>
    <w:rsid w:val="00C52089"/>
    <w:rsid w:val="00C54F41"/>
    <w:rsid w:val="00C66EAF"/>
    <w:rsid w:val="00C746F8"/>
    <w:rsid w:val="00C801CC"/>
    <w:rsid w:val="00C842C0"/>
    <w:rsid w:val="00C84D57"/>
    <w:rsid w:val="00C95B29"/>
    <w:rsid w:val="00C9767B"/>
    <w:rsid w:val="00CA4E1E"/>
    <w:rsid w:val="00CB56B6"/>
    <w:rsid w:val="00CB5D78"/>
    <w:rsid w:val="00CC6B70"/>
    <w:rsid w:val="00CE6284"/>
    <w:rsid w:val="00CF409D"/>
    <w:rsid w:val="00D01989"/>
    <w:rsid w:val="00D059A2"/>
    <w:rsid w:val="00D10760"/>
    <w:rsid w:val="00D14405"/>
    <w:rsid w:val="00D232B4"/>
    <w:rsid w:val="00D25481"/>
    <w:rsid w:val="00D30E21"/>
    <w:rsid w:val="00D3222C"/>
    <w:rsid w:val="00D366E9"/>
    <w:rsid w:val="00D36D24"/>
    <w:rsid w:val="00D37724"/>
    <w:rsid w:val="00D4513C"/>
    <w:rsid w:val="00D45891"/>
    <w:rsid w:val="00D47DDB"/>
    <w:rsid w:val="00D657D2"/>
    <w:rsid w:val="00D733D6"/>
    <w:rsid w:val="00D75CFD"/>
    <w:rsid w:val="00D81482"/>
    <w:rsid w:val="00D85CF5"/>
    <w:rsid w:val="00D9349A"/>
    <w:rsid w:val="00DB3239"/>
    <w:rsid w:val="00DB404B"/>
    <w:rsid w:val="00DC1600"/>
    <w:rsid w:val="00DC67EE"/>
    <w:rsid w:val="00DE08DB"/>
    <w:rsid w:val="00DE0DA2"/>
    <w:rsid w:val="00DE304A"/>
    <w:rsid w:val="00DE4CE6"/>
    <w:rsid w:val="00DF227E"/>
    <w:rsid w:val="00E0056A"/>
    <w:rsid w:val="00E018D3"/>
    <w:rsid w:val="00E0674A"/>
    <w:rsid w:val="00E133C9"/>
    <w:rsid w:val="00E275FD"/>
    <w:rsid w:val="00E304E6"/>
    <w:rsid w:val="00E338F9"/>
    <w:rsid w:val="00E37F73"/>
    <w:rsid w:val="00E41A1B"/>
    <w:rsid w:val="00E43C26"/>
    <w:rsid w:val="00E44DFB"/>
    <w:rsid w:val="00E47639"/>
    <w:rsid w:val="00E5145E"/>
    <w:rsid w:val="00E551CA"/>
    <w:rsid w:val="00E606B6"/>
    <w:rsid w:val="00E751C6"/>
    <w:rsid w:val="00E76610"/>
    <w:rsid w:val="00E85EA7"/>
    <w:rsid w:val="00E874A8"/>
    <w:rsid w:val="00E90FDE"/>
    <w:rsid w:val="00EA43A7"/>
    <w:rsid w:val="00EA7B38"/>
    <w:rsid w:val="00EB15E5"/>
    <w:rsid w:val="00EB733B"/>
    <w:rsid w:val="00EC4A9D"/>
    <w:rsid w:val="00EC5B60"/>
    <w:rsid w:val="00EC7A73"/>
    <w:rsid w:val="00EE2858"/>
    <w:rsid w:val="00EE2E6F"/>
    <w:rsid w:val="00EF035E"/>
    <w:rsid w:val="00EF490E"/>
    <w:rsid w:val="00EF5170"/>
    <w:rsid w:val="00EF70AF"/>
    <w:rsid w:val="00F02AE3"/>
    <w:rsid w:val="00F03C6A"/>
    <w:rsid w:val="00F05139"/>
    <w:rsid w:val="00F07E09"/>
    <w:rsid w:val="00F11893"/>
    <w:rsid w:val="00F20003"/>
    <w:rsid w:val="00F21CEE"/>
    <w:rsid w:val="00F265BE"/>
    <w:rsid w:val="00F314C5"/>
    <w:rsid w:val="00F531A9"/>
    <w:rsid w:val="00F72275"/>
    <w:rsid w:val="00F804BD"/>
    <w:rsid w:val="00F81A73"/>
    <w:rsid w:val="00F84745"/>
    <w:rsid w:val="00F86B08"/>
    <w:rsid w:val="00F915E5"/>
    <w:rsid w:val="00FA2421"/>
    <w:rsid w:val="00FA25C5"/>
    <w:rsid w:val="00FA4EC9"/>
    <w:rsid w:val="00FA6EDE"/>
    <w:rsid w:val="00FB2615"/>
    <w:rsid w:val="00FB2A2F"/>
    <w:rsid w:val="00FB3D02"/>
    <w:rsid w:val="00FB4C35"/>
    <w:rsid w:val="00FB52A5"/>
    <w:rsid w:val="00FB766E"/>
    <w:rsid w:val="00FC0A8E"/>
    <w:rsid w:val="00FC7C8F"/>
    <w:rsid w:val="00FD5C84"/>
    <w:rsid w:val="00FF75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7E81C"/>
  <w15:docId w15:val="{F6097686-17C8-4141-9872-FA316A34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404B"/>
    <w:pPr>
      <w:jc w:val="both"/>
    </w:pPr>
    <w:rPr>
      <w:rFonts w:ascii="Lucida Sans" w:hAnsi="Lucida Sans"/>
    </w:rPr>
  </w:style>
  <w:style w:type="paragraph" w:styleId="Ttulo1">
    <w:name w:val="heading 1"/>
    <w:basedOn w:val="Normal"/>
    <w:next w:val="Normal"/>
    <w:qFormat/>
    <w:rsid w:val="00842651"/>
    <w:pPr>
      <w:keepNext/>
      <w:numPr>
        <w:numId w:val="1"/>
      </w:numPr>
      <w:spacing w:before="60" w:after="60"/>
      <w:ind w:hanging="567"/>
      <w:outlineLvl w:val="0"/>
    </w:pPr>
    <w:rPr>
      <w:b/>
      <w:caps/>
      <w:kern w:val="28"/>
    </w:rPr>
  </w:style>
  <w:style w:type="paragraph" w:styleId="Ttulo2">
    <w:name w:val="heading 2"/>
    <w:basedOn w:val="Normal"/>
    <w:next w:val="Normal"/>
    <w:qFormat/>
    <w:pPr>
      <w:keepNext/>
      <w:numPr>
        <w:ilvl w:val="1"/>
        <w:numId w:val="1"/>
      </w:numPr>
      <w:spacing w:before="60" w:after="60"/>
      <w:ind w:left="567" w:hanging="567"/>
      <w:outlineLvl w:val="1"/>
    </w:pPr>
    <w:rPr>
      <w:b/>
      <w:smallCaps/>
    </w:rPr>
  </w:style>
  <w:style w:type="paragraph" w:styleId="Ttulo3">
    <w:name w:val="heading 3"/>
    <w:basedOn w:val="Normal"/>
    <w:next w:val="Normal"/>
    <w:qFormat/>
    <w:pPr>
      <w:keepNext/>
      <w:numPr>
        <w:ilvl w:val="2"/>
        <w:numId w:val="1"/>
      </w:numPr>
      <w:spacing w:before="60" w:after="60"/>
      <w:ind w:left="567" w:hanging="567"/>
      <w:outlineLvl w:val="2"/>
    </w:pPr>
    <w:rPr>
      <w:b/>
    </w:rPr>
  </w:style>
  <w:style w:type="paragraph" w:styleId="Ttulo4">
    <w:name w:val="heading 4"/>
    <w:basedOn w:val="Normal"/>
    <w:next w:val="Normal"/>
    <w:qFormat/>
    <w:pPr>
      <w:keepNext/>
      <w:numPr>
        <w:ilvl w:val="3"/>
        <w:numId w:val="1"/>
      </w:numPr>
      <w:spacing w:before="60" w:after="60"/>
      <w:ind w:left="567" w:hanging="567"/>
      <w:outlineLvl w:val="3"/>
    </w:pPr>
    <w:rPr>
      <w:b/>
    </w:rPr>
  </w:style>
  <w:style w:type="paragraph" w:styleId="Ttulo5">
    <w:name w:val="heading 5"/>
    <w:basedOn w:val="Normal"/>
    <w:next w:val="Normal"/>
    <w:qFormat/>
    <w:pPr>
      <w:numPr>
        <w:ilvl w:val="4"/>
        <w:numId w:val="1"/>
      </w:numPr>
      <w:spacing w:before="60" w:after="60"/>
      <w:outlineLvl w:val="4"/>
    </w:pPr>
    <w:rPr>
      <w:b/>
    </w:rPr>
  </w:style>
  <w:style w:type="paragraph" w:styleId="Ttulo6">
    <w:name w:val="heading 6"/>
    <w:basedOn w:val="Normal"/>
    <w:next w:val="Normal"/>
    <w:qFormat/>
    <w:rsid w:val="00DB404B"/>
    <w:pPr>
      <w:numPr>
        <w:ilvl w:val="5"/>
        <w:numId w:val="1"/>
      </w:numPr>
      <w:spacing w:before="240" w:after="60"/>
      <w:outlineLvl w:val="5"/>
    </w:pPr>
    <w:rPr>
      <w:i/>
    </w:rPr>
  </w:style>
  <w:style w:type="paragraph" w:styleId="Ttulo7">
    <w:name w:val="heading 7"/>
    <w:basedOn w:val="Normal"/>
    <w:next w:val="Normal"/>
    <w:qFormat/>
    <w:rsid w:val="00DB404B"/>
    <w:pPr>
      <w:numPr>
        <w:ilvl w:val="6"/>
        <w:numId w:val="1"/>
      </w:numPr>
      <w:spacing w:before="240" w:after="60"/>
      <w:outlineLvl w:val="6"/>
    </w:pPr>
  </w:style>
  <w:style w:type="paragraph" w:styleId="Ttulo8">
    <w:name w:val="heading 8"/>
    <w:basedOn w:val="Normal"/>
    <w:next w:val="Normal"/>
    <w:qFormat/>
    <w:pPr>
      <w:numPr>
        <w:ilvl w:val="7"/>
        <w:numId w:val="1"/>
      </w:numPr>
      <w:spacing w:before="240" w:after="60"/>
      <w:outlineLvl w:val="7"/>
    </w:pPr>
    <w:rPr>
      <w:rFonts w:ascii="Arial" w:hAnsi="Arial"/>
      <w:i/>
    </w:rPr>
  </w:style>
  <w:style w:type="paragraph" w:styleId="Ttulo9">
    <w:name w:val="heading 9"/>
    <w:basedOn w:val="Normal"/>
    <w:next w:val="Normal"/>
    <w:qFormat/>
    <w:rsid w:val="00DB404B"/>
    <w:pPr>
      <w:numPr>
        <w:ilvl w:val="8"/>
        <w:numId w:val="1"/>
      </w:numPr>
      <w:spacing w:before="240" w:after="60"/>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paragraph" w:styleId="TDC1">
    <w:name w:val="toc 1"/>
    <w:basedOn w:val="Normal"/>
    <w:next w:val="Normal"/>
    <w:semiHidden/>
    <w:pPr>
      <w:tabs>
        <w:tab w:val="right" w:leader="dot" w:pos="9027"/>
      </w:tabs>
    </w:pPr>
    <w:rPr>
      <w:caps/>
    </w:rPr>
  </w:style>
  <w:style w:type="paragraph" w:styleId="TDC2">
    <w:name w:val="toc 2"/>
    <w:basedOn w:val="Normal"/>
    <w:next w:val="Normal"/>
    <w:semiHidden/>
    <w:pPr>
      <w:tabs>
        <w:tab w:val="right" w:leader="dot" w:pos="9027"/>
      </w:tabs>
      <w:ind w:left="240"/>
    </w:pPr>
    <w:rPr>
      <w:smallCaps/>
    </w:rPr>
  </w:style>
  <w:style w:type="paragraph" w:styleId="TDC3">
    <w:name w:val="toc 3"/>
    <w:basedOn w:val="Normal"/>
    <w:next w:val="Normal"/>
    <w:semiHidden/>
    <w:pPr>
      <w:tabs>
        <w:tab w:val="right" w:leader="dot" w:pos="9027"/>
      </w:tabs>
      <w:ind w:left="480"/>
    </w:pPr>
  </w:style>
  <w:style w:type="paragraph" w:styleId="TDC4">
    <w:name w:val="toc 4"/>
    <w:basedOn w:val="Normal"/>
    <w:next w:val="Normal"/>
    <w:semiHidden/>
    <w:pPr>
      <w:tabs>
        <w:tab w:val="right" w:leader="dot" w:pos="9027"/>
      </w:tabs>
      <w:ind w:left="720"/>
    </w:pPr>
  </w:style>
  <w:style w:type="paragraph" w:styleId="TDC5">
    <w:name w:val="toc 5"/>
    <w:basedOn w:val="Normal"/>
    <w:next w:val="Normal"/>
    <w:semiHidden/>
    <w:pPr>
      <w:tabs>
        <w:tab w:val="right" w:leader="dot" w:pos="9027"/>
      </w:tabs>
      <w:ind w:left="960"/>
    </w:pPr>
  </w:style>
  <w:style w:type="table" w:styleId="Tablaconcuadrcula">
    <w:name w:val="Table Grid"/>
    <w:basedOn w:val="Tablanormal"/>
    <w:uiPriority w:val="39"/>
    <w:rsid w:val="006476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DB404B"/>
    <w:rPr>
      <w:rFonts w:ascii="Lucida Sans" w:hAnsi="Lucida Sans"/>
      <w:sz w:val="20"/>
    </w:rPr>
  </w:style>
  <w:style w:type="paragraph" w:styleId="Encabezado">
    <w:name w:val="header"/>
    <w:basedOn w:val="Normal"/>
    <w:pPr>
      <w:tabs>
        <w:tab w:val="center" w:pos="4252"/>
        <w:tab w:val="right" w:pos="8504"/>
      </w:tabs>
    </w:p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deglobo">
    <w:name w:val="Balloon Text"/>
    <w:basedOn w:val="Normal"/>
    <w:link w:val="TextodegloboCar"/>
    <w:rsid w:val="00D10760"/>
    <w:rPr>
      <w:rFonts w:ascii="Tahoma" w:hAnsi="Tahoma" w:cs="Tahoma"/>
      <w:sz w:val="16"/>
      <w:szCs w:val="16"/>
    </w:rPr>
  </w:style>
  <w:style w:type="character" w:customStyle="1" w:styleId="TextodegloboCar">
    <w:name w:val="Texto de globo Car"/>
    <w:basedOn w:val="Fuentedeprrafopredeter"/>
    <w:link w:val="Textodeglobo"/>
    <w:rsid w:val="00D10760"/>
    <w:rPr>
      <w:rFonts w:ascii="Tahoma" w:hAnsi="Tahoma" w:cs="Tahoma"/>
      <w:sz w:val="16"/>
      <w:szCs w:val="16"/>
      <w:lang w:val="eu"/>
    </w:rPr>
  </w:style>
  <w:style w:type="paragraph" w:styleId="Prrafodelista">
    <w:name w:val="List Paragraph"/>
    <w:basedOn w:val="Normal"/>
    <w:uiPriority w:val="34"/>
    <w:qFormat/>
    <w:rsid w:val="00640287"/>
    <w:pPr>
      <w:ind w:left="720"/>
      <w:contextualSpacing/>
    </w:pPr>
  </w:style>
  <w:style w:type="paragraph" w:customStyle="1" w:styleId="r01alignjustify">
    <w:name w:val="r01alignjustify"/>
    <w:basedOn w:val="Normal"/>
    <w:rsid w:val="00D4513C"/>
    <w:pPr>
      <w:spacing w:before="100" w:beforeAutospacing="1" w:after="100" w:afterAutospacing="1"/>
      <w:jc w:val="left"/>
    </w:pPr>
    <w:rPr>
      <w:rFonts w:ascii="Times New Roman" w:hAnsi="Times New Roman"/>
      <w:sz w:val="24"/>
      <w:szCs w:val="24"/>
    </w:rPr>
  </w:style>
  <w:style w:type="character" w:styleId="Textoennegrita">
    <w:name w:val="Strong"/>
    <w:basedOn w:val="Fuentedeprrafopredeter"/>
    <w:uiPriority w:val="22"/>
    <w:qFormat/>
    <w:rsid w:val="00D4513C"/>
    <w:rPr>
      <w:b/>
      <w:bCs/>
    </w:rPr>
  </w:style>
  <w:style w:type="character" w:styleId="Refdecomentario">
    <w:name w:val="annotation reference"/>
    <w:basedOn w:val="Fuentedeprrafopredeter"/>
    <w:rsid w:val="009446F8"/>
    <w:rPr>
      <w:sz w:val="16"/>
      <w:szCs w:val="16"/>
    </w:rPr>
  </w:style>
  <w:style w:type="paragraph" w:styleId="Textocomentario">
    <w:name w:val="annotation text"/>
    <w:basedOn w:val="Normal"/>
    <w:link w:val="TextocomentarioCar"/>
    <w:rsid w:val="009446F8"/>
  </w:style>
  <w:style w:type="character" w:customStyle="1" w:styleId="TextocomentarioCar">
    <w:name w:val="Texto comentario Car"/>
    <w:basedOn w:val="Fuentedeprrafopredeter"/>
    <w:link w:val="Textocomentario"/>
    <w:rsid w:val="009446F8"/>
    <w:rPr>
      <w:rFonts w:ascii="Lucida Sans" w:hAnsi="Lucida Sans"/>
      <w:lang w:val="eu"/>
    </w:rPr>
  </w:style>
  <w:style w:type="paragraph" w:styleId="Asuntodelcomentario">
    <w:name w:val="annotation subject"/>
    <w:basedOn w:val="Textocomentario"/>
    <w:next w:val="Textocomentario"/>
    <w:link w:val="AsuntodelcomentarioCar"/>
    <w:rsid w:val="009446F8"/>
    <w:rPr>
      <w:b/>
      <w:bCs/>
    </w:rPr>
  </w:style>
  <w:style w:type="character" w:customStyle="1" w:styleId="AsuntodelcomentarioCar">
    <w:name w:val="Asunto del comentario Car"/>
    <w:basedOn w:val="TextocomentarioCar"/>
    <w:link w:val="Asuntodelcomentario"/>
    <w:rsid w:val="009446F8"/>
    <w:rPr>
      <w:rFonts w:ascii="Lucida Sans" w:hAnsi="Lucida Sans"/>
      <w:b/>
      <w:bCs/>
      <w:lang w:val="eu"/>
    </w:rPr>
  </w:style>
  <w:style w:type="character" w:styleId="Hipervnculo">
    <w:name w:val="Hyperlink"/>
    <w:basedOn w:val="Fuentedeprrafopredeter"/>
    <w:unhideWhenUsed/>
    <w:rsid w:val="00DC67EE"/>
    <w:rPr>
      <w:color w:val="0563C1" w:themeColor="hyperlink"/>
      <w:u w:val="single"/>
    </w:rPr>
  </w:style>
  <w:style w:type="character" w:styleId="Hipervnculovisitado">
    <w:name w:val="FollowedHyperlink"/>
    <w:basedOn w:val="Fuentedeprrafopredeter"/>
    <w:semiHidden/>
    <w:unhideWhenUsed/>
    <w:rsid w:val="00DC67EE"/>
    <w:rPr>
      <w:color w:val="954F72" w:themeColor="followedHyperlink"/>
      <w:u w:val="single"/>
    </w:rPr>
  </w:style>
  <w:style w:type="paragraph" w:styleId="NormalWeb">
    <w:name w:val="Normal (Web)"/>
    <w:basedOn w:val="Normal"/>
    <w:uiPriority w:val="99"/>
    <w:unhideWhenUsed/>
    <w:rsid w:val="009F0A25"/>
    <w:pPr>
      <w:spacing w:before="100" w:beforeAutospacing="1" w:after="100" w:afterAutospacing="1"/>
      <w:jc w:val="left"/>
    </w:pPr>
    <w:rPr>
      <w:rFonts w:ascii="Times New Roman" w:hAnsi="Times New Roman"/>
      <w:sz w:val="24"/>
      <w:szCs w:val="24"/>
    </w:rPr>
  </w:style>
  <w:style w:type="paragraph" w:customStyle="1" w:styleId="selectionshareable">
    <w:name w:val="selectionshareable"/>
    <w:basedOn w:val="Normal"/>
    <w:rsid w:val="00422781"/>
    <w:pPr>
      <w:spacing w:before="100" w:beforeAutospacing="1" w:after="100" w:afterAutospacing="1"/>
      <w:jc w:val="left"/>
    </w:pPr>
    <w:rPr>
      <w:rFonts w:ascii="Times New Roman" w:hAnsi="Times New Roman"/>
      <w:sz w:val="24"/>
      <w:szCs w:val="24"/>
    </w:rPr>
  </w:style>
  <w:style w:type="character" w:customStyle="1" w:styleId="apple-converted-space">
    <w:name w:val="apple-converted-space"/>
    <w:basedOn w:val="Fuentedeprrafopredeter"/>
    <w:rsid w:val="00EA43A7"/>
  </w:style>
  <w:style w:type="paragraph" w:customStyle="1" w:styleId="parrafo">
    <w:name w:val="parrafo"/>
    <w:basedOn w:val="Normal"/>
    <w:rsid w:val="0079522D"/>
    <w:pPr>
      <w:spacing w:before="100" w:beforeAutospacing="1" w:after="100" w:afterAutospacing="1"/>
      <w:jc w:val="left"/>
    </w:pPr>
    <w:rPr>
      <w:rFonts w:ascii="Times New Roman" w:hAnsi="Times New Roman"/>
      <w:sz w:val="24"/>
      <w:szCs w:val="24"/>
    </w:rPr>
  </w:style>
  <w:style w:type="character" w:styleId="nfasis">
    <w:name w:val="Emphasis"/>
    <w:basedOn w:val="Fuentedeprrafopredeter"/>
    <w:uiPriority w:val="20"/>
    <w:qFormat/>
    <w:rsid w:val="0079522D"/>
    <w:rPr>
      <w:i/>
      <w:iCs/>
    </w:rPr>
  </w:style>
  <w:style w:type="character" w:customStyle="1" w:styleId="currenthithighlight">
    <w:name w:val="currenthithighlight"/>
    <w:basedOn w:val="Fuentedeprrafopredeter"/>
    <w:rsid w:val="002A003B"/>
  </w:style>
  <w:style w:type="character" w:customStyle="1" w:styleId="highlight">
    <w:name w:val="highlight"/>
    <w:basedOn w:val="Fuentedeprrafopredeter"/>
    <w:rsid w:val="002A003B"/>
  </w:style>
  <w:style w:type="paragraph" w:customStyle="1" w:styleId="Normal1">
    <w:name w:val="Normal1"/>
    <w:basedOn w:val="Normal"/>
    <w:rsid w:val="000E7902"/>
    <w:pPr>
      <w:spacing w:before="100" w:beforeAutospacing="1" w:after="100" w:afterAutospacing="1"/>
      <w:jc w:val="left"/>
    </w:pPr>
    <w:rPr>
      <w:rFonts w:ascii="Times New Roman" w:hAnsi="Times New Roman"/>
      <w:sz w:val="24"/>
      <w:szCs w:val="24"/>
    </w:rPr>
  </w:style>
  <w:style w:type="character" w:customStyle="1" w:styleId="normalchar">
    <w:name w:val="normal__char"/>
    <w:basedOn w:val="Fuentedeprrafopredeter"/>
    <w:rsid w:val="000E7902"/>
  </w:style>
  <w:style w:type="paragraph" w:customStyle="1" w:styleId="Default">
    <w:name w:val="Default"/>
    <w:rsid w:val="009C7586"/>
    <w:pPr>
      <w:autoSpaceDE w:val="0"/>
      <w:autoSpaceDN w:val="0"/>
      <w:adjustRightInd w:val="0"/>
    </w:pPr>
    <w:rPr>
      <w:rFonts w:ascii="Calibri" w:eastAsiaTheme="minorHAnsi" w:hAnsi="Calibri" w:cs="Calibri"/>
      <w:color w:val="000000"/>
      <w:sz w:val="24"/>
      <w:szCs w:val="24"/>
      <w:lang w:eastAsia="en-US"/>
    </w:rPr>
  </w:style>
  <w:style w:type="paragraph" w:customStyle="1" w:styleId="Pa4">
    <w:name w:val="Pa4"/>
    <w:basedOn w:val="Normal"/>
    <w:uiPriority w:val="99"/>
    <w:rsid w:val="009C7586"/>
    <w:pPr>
      <w:autoSpaceDE w:val="0"/>
      <w:autoSpaceDN w:val="0"/>
      <w:spacing w:line="213" w:lineRule="atLeast"/>
      <w:jc w:val="left"/>
    </w:pPr>
    <w:rPr>
      <w:rFonts w:ascii="Adobe Garamond Pro" w:eastAsiaTheme="minorHAnsi" w:hAnsi="Adobe Garamond Pro"/>
      <w:sz w:val="24"/>
      <w:szCs w:val="24"/>
      <w:lang w:eastAsia="en-US"/>
    </w:rPr>
  </w:style>
  <w:style w:type="paragraph" w:customStyle="1" w:styleId="BOPVDetalle">
    <w:name w:val="BOPVDetalle"/>
    <w:link w:val="BOPVDetalleCar"/>
    <w:rsid w:val="005D24FC"/>
    <w:pPr>
      <w:widowControl w:val="0"/>
      <w:spacing w:after="220"/>
      <w:ind w:firstLine="425"/>
    </w:pPr>
    <w:rPr>
      <w:rFonts w:ascii="Arial" w:hAnsi="Arial"/>
      <w:sz w:val="22"/>
      <w:szCs w:val="22"/>
      <w:lang w:eastAsia="es-ES_tradnl"/>
    </w:rPr>
  </w:style>
  <w:style w:type="character" w:customStyle="1" w:styleId="BOPVDetalleCar">
    <w:name w:val="BOPVDetalle Car"/>
    <w:link w:val="BOPVDetalle"/>
    <w:locked/>
    <w:rsid w:val="005D24FC"/>
    <w:rPr>
      <w:rFonts w:ascii="Arial" w:hAnsi="Arial"/>
      <w:sz w:val="22"/>
      <w:szCs w:val="22"/>
      <w:lang w:eastAsia="es-ES_tradnl"/>
    </w:rPr>
  </w:style>
  <w:style w:type="paragraph" w:customStyle="1" w:styleId="r01alignleft">
    <w:name w:val="r01alignleft"/>
    <w:basedOn w:val="Normal"/>
    <w:rsid w:val="008D4149"/>
    <w:pPr>
      <w:spacing w:before="100" w:beforeAutospacing="1" w:after="100" w:afterAutospacing="1"/>
      <w:jc w:val="left"/>
    </w:pPr>
    <w:rPr>
      <w:rFonts w:ascii="Times New Roman" w:hAnsi="Times New Roman"/>
      <w:sz w:val="24"/>
      <w:szCs w:val="24"/>
    </w:rPr>
  </w:style>
  <w:style w:type="table" w:customStyle="1" w:styleId="Tablaconcuadrcula1">
    <w:name w:val="Tabla con cuadrícula1"/>
    <w:basedOn w:val="Tablanormal"/>
    <w:next w:val="Tablaconcuadrcula"/>
    <w:uiPriority w:val="39"/>
    <w:rsid w:val="004940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6121">
      <w:bodyDiv w:val="1"/>
      <w:marLeft w:val="0"/>
      <w:marRight w:val="0"/>
      <w:marTop w:val="0"/>
      <w:marBottom w:val="0"/>
      <w:divBdr>
        <w:top w:val="none" w:sz="0" w:space="0" w:color="auto"/>
        <w:left w:val="none" w:sz="0" w:space="0" w:color="auto"/>
        <w:bottom w:val="none" w:sz="0" w:space="0" w:color="auto"/>
        <w:right w:val="none" w:sz="0" w:space="0" w:color="auto"/>
      </w:divBdr>
    </w:div>
    <w:div w:id="281427197">
      <w:bodyDiv w:val="1"/>
      <w:marLeft w:val="0"/>
      <w:marRight w:val="0"/>
      <w:marTop w:val="0"/>
      <w:marBottom w:val="0"/>
      <w:divBdr>
        <w:top w:val="none" w:sz="0" w:space="0" w:color="auto"/>
        <w:left w:val="none" w:sz="0" w:space="0" w:color="auto"/>
        <w:bottom w:val="none" w:sz="0" w:space="0" w:color="auto"/>
        <w:right w:val="none" w:sz="0" w:space="0" w:color="auto"/>
      </w:divBdr>
      <w:divsChild>
        <w:div w:id="363480888">
          <w:marLeft w:val="0"/>
          <w:marRight w:val="0"/>
          <w:marTop w:val="0"/>
          <w:marBottom w:val="0"/>
          <w:divBdr>
            <w:top w:val="none" w:sz="0" w:space="0" w:color="auto"/>
            <w:left w:val="none" w:sz="0" w:space="0" w:color="auto"/>
            <w:bottom w:val="none" w:sz="0" w:space="0" w:color="auto"/>
            <w:right w:val="none" w:sz="0" w:space="0" w:color="auto"/>
          </w:divBdr>
        </w:div>
        <w:div w:id="1440567902">
          <w:marLeft w:val="0"/>
          <w:marRight w:val="0"/>
          <w:marTop w:val="0"/>
          <w:marBottom w:val="0"/>
          <w:divBdr>
            <w:top w:val="none" w:sz="0" w:space="0" w:color="auto"/>
            <w:left w:val="none" w:sz="0" w:space="0" w:color="auto"/>
            <w:bottom w:val="none" w:sz="0" w:space="0" w:color="auto"/>
            <w:right w:val="none" w:sz="0" w:space="0" w:color="auto"/>
          </w:divBdr>
        </w:div>
        <w:div w:id="1950889026">
          <w:marLeft w:val="0"/>
          <w:marRight w:val="0"/>
          <w:marTop w:val="0"/>
          <w:marBottom w:val="0"/>
          <w:divBdr>
            <w:top w:val="none" w:sz="0" w:space="0" w:color="auto"/>
            <w:left w:val="none" w:sz="0" w:space="0" w:color="auto"/>
            <w:bottom w:val="none" w:sz="0" w:space="0" w:color="auto"/>
            <w:right w:val="none" w:sz="0" w:space="0" w:color="auto"/>
          </w:divBdr>
        </w:div>
        <w:div w:id="1284073299">
          <w:marLeft w:val="0"/>
          <w:marRight w:val="0"/>
          <w:marTop w:val="0"/>
          <w:marBottom w:val="0"/>
          <w:divBdr>
            <w:top w:val="none" w:sz="0" w:space="0" w:color="auto"/>
            <w:left w:val="none" w:sz="0" w:space="0" w:color="auto"/>
            <w:bottom w:val="none" w:sz="0" w:space="0" w:color="auto"/>
            <w:right w:val="none" w:sz="0" w:space="0" w:color="auto"/>
          </w:divBdr>
        </w:div>
        <w:div w:id="203449711">
          <w:marLeft w:val="0"/>
          <w:marRight w:val="0"/>
          <w:marTop w:val="0"/>
          <w:marBottom w:val="0"/>
          <w:divBdr>
            <w:top w:val="none" w:sz="0" w:space="0" w:color="auto"/>
            <w:left w:val="none" w:sz="0" w:space="0" w:color="auto"/>
            <w:bottom w:val="none" w:sz="0" w:space="0" w:color="auto"/>
            <w:right w:val="none" w:sz="0" w:space="0" w:color="auto"/>
          </w:divBdr>
        </w:div>
        <w:div w:id="1860315889">
          <w:marLeft w:val="0"/>
          <w:marRight w:val="0"/>
          <w:marTop w:val="0"/>
          <w:marBottom w:val="0"/>
          <w:divBdr>
            <w:top w:val="none" w:sz="0" w:space="0" w:color="auto"/>
            <w:left w:val="none" w:sz="0" w:space="0" w:color="auto"/>
            <w:bottom w:val="none" w:sz="0" w:space="0" w:color="auto"/>
            <w:right w:val="none" w:sz="0" w:space="0" w:color="auto"/>
          </w:divBdr>
        </w:div>
        <w:div w:id="1763137162">
          <w:marLeft w:val="0"/>
          <w:marRight w:val="0"/>
          <w:marTop w:val="0"/>
          <w:marBottom w:val="0"/>
          <w:divBdr>
            <w:top w:val="none" w:sz="0" w:space="0" w:color="auto"/>
            <w:left w:val="none" w:sz="0" w:space="0" w:color="auto"/>
            <w:bottom w:val="none" w:sz="0" w:space="0" w:color="auto"/>
            <w:right w:val="none" w:sz="0" w:space="0" w:color="auto"/>
          </w:divBdr>
        </w:div>
        <w:div w:id="200410852">
          <w:marLeft w:val="0"/>
          <w:marRight w:val="0"/>
          <w:marTop w:val="0"/>
          <w:marBottom w:val="0"/>
          <w:divBdr>
            <w:top w:val="none" w:sz="0" w:space="0" w:color="auto"/>
            <w:left w:val="none" w:sz="0" w:space="0" w:color="auto"/>
            <w:bottom w:val="none" w:sz="0" w:space="0" w:color="auto"/>
            <w:right w:val="none" w:sz="0" w:space="0" w:color="auto"/>
          </w:divBdr>
        </w:div>
        <w:div w:id="1965498724">
          <w:marLeft w:val="0"/>
          <w:marRight w:val="0"/>
          <w:marTop w:val="0"/>
          <w:marBottom w:val="0"/>
          <w:divBdr>
            <w:top w:val="none" w:sz="0" w:space="0" w:color="auto"/>
            <w:left w:val="none" w:sz="0" w:space="0" w:color="auto"/>
            <w:bottom w:val="none" w:sz="0" w:space="0" w:color="auto"/>
            <w:right w:val="none" w:sz="0" w:space="0" w:color="auto"/>
          </w:divBdr>
        </w:div>
      </w:divsChild>
    </w:div>
    <w:div w:id="330066738">
      <w:bodyDiv w:val="1"/>
      <w:marLeft w:val="0"/>
      <w:marRight w:val="0"/>
      <w:marTop w:val="0"/>
      <w:marBottom w:val="0"/>
      <w:divBdr>
        <w:top w:val="none" w:sz="0" w:space="0" w:color="auto"/>
        <w:left w:val="none" w:sz="0" w:space="0" w:color="auto"/>
        <w:bottom w:val="none" w:sz="0" w:space="0" w:color="auto"/>
        <w:right w:val="none" w:sz="0" w:space="0" w:color="auto"/>
      </w:divBdr>
      <w:divsChild>
        <w:div w:id="1300064073">
          <w:marLeft w:val="0"/>
          <w:marRight w:val="0"/>
          <w:marTop w:val="0"/>
          <w:marBottom w:val="0"/>
          <w:divBdr>
            <w:top w:val="none" w:sz="0" w:space="0" w:color="auto"/>
            <w:left w:val="none" w:sz="0" w:space="0" w:color="auto"/>
            <w:bottom w:val="none" w:sz="0" w:space="0" w:color="auto"/>
            <w:right w:val="none" w:sz="0" w:space="0" w:color="auto"/>
          </w:divBdr>
        </w:div>
        <w:div w:id="13967499">
          <w:marLeft w:val="0"/>
          <w:marRight w:val="0"/>
          <w:marTop w:val="0"/>
          <w:marBottom w:val="0"/>
          <w:divBdr>
            <w:top w:val="none" w:sz="0" w:space="0" w:color="auto"/>
            <w:left w:val="none" w:sz="0" w:space="0" w:color="auto"/>
            <w:bottom w:val="none" w:sz="0" w:space="0" w:color="auto"/>
            <w:right w:val="none" w:sz="0" w:space="0" w:color="auto"/>
          </w:divBdr>
        </w:div>
        <w:div w:id="98842920">
          <w:marLeft w:val="0"/>
          <w:marRight w:val="0"/>
          <w:marTop w:val="0"/>
          <w:marBottom w:val="0"/>
          <w:divBdr>
            <w:top w:val="none" w:sz="0" w:space="0" w:color="auto"/>
            <w:left w:val="none" w:sz="0" w:space="0" w:color="auto"/>
            <w:bottom w:val="none" w:sz="0" w:space="0" w:color="auto"/>
            <w:right w:val="none" w:sz="0" w:space="0" w:color="auto"/>
          </w:divBdr>
        </w:div>
        <w:div w:id="1335109581">
          <w:marLeft w:val="0"/>
          <w:marRight w:val="0"/>
          <w:marTop w:val="0"/>
          <w:marBottom w:val="0"/>
          <w:divBdr>
            <w:top w:val="none" w:sz="0" w:space="0" w:color="auto"/>
            <w:left w:val="none" w:sz="0" w:space="0" w:color="auto"/>
            <w:bottom w:val="none" w:sz="0" w:space="0" w:color="auto"/>
            <w:right w:val="none" w:sz="0" w:space="0" w:color="auto"/>
          </w:divBdr>
        </w:div>
        <w:div w:id="1844513833">
          <w:marLeft w:val="0"/>
          <w:marRight w:val="0"/>
          <w:marTop w:val="0"/>
          <w:marBottom w:val="0"/>
          <w:divBdr>
            <w:top w:val="none" w:sz="0" w:space="0" w:color="auto"/>
            <w:left w:val="none" w:sz="0" w:space="0" w:color="auto"/>
            <w:bottom w:val="none" w:sz="0" w:space="0" w:color="auto"/>
            <w:right w:val="none" w:sz="0" w:space="0" w:color="auto"/>
          </w:divBdr>
        </w:div>
        <w:div w:id="358363433">
          <w:marLeft w:val="0"/>
          <w:marRight w:val="0"/>
          <w:marTop w:val="0"/>
          <w:marBottom w:val="0"/>
          <w:divBdr>
            <w:top w:val="none" w:sz="0" w:space="0" w:color="auto"/>
            <w:left w:val="none" w:sz="0" w:space="0" w:color="auto"/>
            <w:bottom w:val="none" w:sz="0" w:space="0" w:color="auto"/>
            <w:right w:val="none" w:sz="0" w:space="0" w:color="auto"/>
          </w:divBdr>
        </w:div>
      </w:divsChild>
    </w:div>
    <w:div w:id="380132420">
      <w:bodyDiv w:val="1"/>
      <w:marLeft w:val="0"/>
      <w:marRight w:val="0"/>
      <w:marTop w:val="0"/>
      <w:marBottom w:val="0"/>
      <w:divBdr>
        <w:top w:val="none" w:sz="0" w:space="0" w:color="auto"/>
        <w:left w:val="none" w:sz="0" w:space="0" w:color="auto"/>
        <w:bottom w:val="none" w:sz="0" w:space="0" w:color="auto"/>
        <w:right w:val="none" w:sz="0" w:space="0" w:color="auto"/>
      </w:divBdr>
    </w:div>
    <w:div w:id="490485696">
      <w:bodyDiv w:val="1"/>
      <w:marLeft w:val="0"/>
      <w:marRight w:val="0"/>
      <w:marTop w:val="0"/>
      <w:marBottom w:val="0"/>
      <w:divBdr>
        <w:top w:val="none" w:sz="0" w:space="0" w:color="auto"/>
        <w:left w:val="none" w:sz="0" w:space="0" w:color="auto"/>
        <w:bottom w:val="none" w:sz="0" w:space="0" w:color="auto"/>
        <w:right w:val="none" w:sz="0" w:space="0" w:color="auto"/>
      </w:divBdr>
    </w:div>
    <w:div w:id="566961170">
      <w:bodyDiv w:val="1"/>
      <w:marLeft w:val="0"/>
      <w:marRight w:val="0"/>
      <w:marTop w:val="0"/>
      <w:marBottom w:val="0"/>
      <w:divBdr>
        <w:top w:val="none" w:sz="0" w:space="0" w:color="auto"/>
        <w:left w:val="none" w:sz="0" w:space="0" w:color="auto"/>
        <w:bottom w:val="none" w:sz="0" w:space="0" w:color="auto"/>
        <w:right w:val="none" w:sz="0" w:space="0" w:color="auto"/>
      </w:divBdr>
    </w:div>
    <w:div w:id="582496981">
      <w:bodyDiv w:val="1"/>
      <w:marLeft w:val="0"/>
      <w:marRight w:val="0"/>
      <w:marTop w:val="0"/>
      <w:marBottom w:val="0"/>
      <w:divBdr>
        <w:top w:val="none" w:sz="0" w:space="0" w:color="auto"/>
        <w:left w:val="none" w:sz="0" w:space="0" w:color="auto"/>
        <w:bottom w:val="none" w:sz="0" w:space="0" w:color="auto"/>
        <w:right w:val="none" w:sz="0" w:space="0" w:color="auto"/>
      </w:divBdr>
    </w:div>
    <w:div w:id="674497890">
      <w:bodyDiv w:val="1"/>
      <w:marLeft w:val="0"/>
      <w:marRight w:val="0"/>
      <w:marTop w:val="0"/>
      <w:marBottom w:val="0"/>
      <w:divBdr>
        <w:top w:val="none" w:sz="0" w:space="0" w:color="auto"/>
        <w:left w:val="none" w:sz="0" w:space="0" w:color="auto"/>
        <w:bottom w:val="none" w:sz="0" w:space="0" w:color="auto"/>
        <w:right w:val="none" w:sz="0" w:space="0" w:color="auto"/>
      </w:divBdr>
    </w:div>
    <w:div w:id="724136961">
      <w:bodyDiv w:val="1"/>
      <w:marLeft w:val="0"/>
      <w:marRight w:val="0"/>
      <w:marTop w:val="0"/>
      <w:marBottom w:val="0"/>
      <w:divBdr>
        <w:top w:val="none" w:sz="0" w:space="0" w:color="auto"/>
        <w:left w:val="none" w:sz="0" w:space="0" w:color="auto"/>
        <w:bottom w:val="none" w:sz="0" w:space="0" w:color="auto"/>
        <w:right w:val="none" w:sz="0" w:space="0" w:color="auto"/>
      </w:divBdr>
    </w:div>
    <w:div w:id="730154754">
      <w:bodyDiv w:val="1"/>
      <w:marLeft w:val="0"/>
      <w:marRight w:val="0"/>
      <w:marTop w:val="0"/>
      <w:marBottom w:val="0"/>
      <w:divBdr>
        <w:top w:val="none" w:sz="0" w:space="0" w:color="auto"/>
        <w:left w:val="none" w:sz="0" w:space="0" w:color="auto"/>
        <w:bottom w:val="none" w:sz="0" w:space="0" w:color="auto"/>
        <w:right w:val="none" w:sz="0" w:space="0" w:color="auto"/>
      </w:divBdr>
    </w:div>
    <w:div w:id="917517738">
      <w:bodyDiv w:val="1"/>
      <w:marLeft w:val="0"/>
      <w:marRight w:val="0"/>
      <w:marTop w:val="0"/>
      <w:marBottom w:val="0"/>
      <w:divBdr>
        <w:top w:val="none" w:sz="0" w:space="0" w:color="auto"/>
        <w:left w:val="none" w:sz="0" w:space="0" w:color="auto"/>
        <w:bottom w:val="none" w:sz="0" w:space="0" w:color="auto"/>
        <w:right w:val="none" w:sz="0" w:space="0" w:color="auto"/>
      </w:divBdr>
    </w:div>
    <w:div w:id="954754760">
      <w:bodyDiv w:val="1"/>
      <w:marLeft w:val="0"/>
      <w:marRight w:val="0"/>
      <w:marTop w:val="0"/>
      <w:marBottom w:val="0"/>
      <w:divBdr>
        <w:top w:val="none" w:sz="0" w:space="0" w:color="auto"/>
        <w:left w:val="none" w:sz="0" w:space="0" w:color="auto"/>
        <w:bottom w:val="none" w:sz="0" w:space="0" w:color="auto"/>
        <w:right w:val="none" w:sz="0" w:space="0" w:color="auto"/>
      </w:divBdr>
    </w:div>
    <w:div w:id="1029768650">
      <w:bodyDiv w:val="1"/>
      <w:marLeft w:val="0"/>
      <w:marRight w:val="0"/>
      <w:marTop w:val="0"/>
      <w:marBottom w:val="0"/>
      <w:divBdr>
        <w:top w:val="none" w:sz="0" w:space="0" w:color="auto"/>
        <w:left w:val="none" w:sz="0" w:space="0" w:color="auto"/>
        <w:bottom w:val="none" w:sz="0" w:space="0" w:color="auto"/>
        <w:right w:val="none" w:sz="0" w:space="0" w:color="auto"/>
      </w:divBdr>
    </w:div>
    <w:div w:id="1044447709">
      <w:bodyDiv w:val="1"/>
      <w:marLeft w:val="0"/>
      <w:marRight w:val="0"/>
      <w:marTop w:val="0"/>
      <w:marBottom w:val="0"/>
      <w:divBdr>
        <w:top w:val="none" w:sz="0" w:space="0" w:color="auto"/>
        <w:left w:val="none" w:sz="0" w:space="0" w:color="auto"/>
        <w:bottom w:val="none" w:sz="0" w:space="0" w:color="auto"/>
        <w:right w:val="none" w:sz="0" w:space="0" w:color="auto"/>
      </w:divBdr>
      <w:divsChild>
        <w:div w:id="1009138162">
          <w:marLeft w:val="0"/>
          <w:marRight w:val="0"/>
          <w:marTop w:val="0"/>
          <w:marBottom w:val="0"/>
          <w:divBdr>
            <w:top w:val="none" w:sz="0" w:space="0" w:color="auto"/>
            <w:left w:val="none" w:sz="0" w:space="0" w:color="auto"/>
            <w:bottom w:val="none" w:sz="0" w:space="0" w:color="auto"/>
            <w:right w:val="none" w:sz="0" w:space="0" w:color="auto"/>
          </w:divBdr>
        </w:div>
        <w:div w:id="2084839426">
          <w:marLeft w:val="0"/>
          <w:marRight w:val="0"/>
          <w:marTop w:val="0"/>
          <w:marBottom w:val="0"/>
          <w:divBdr>
            <w:top w:val="none" w:sz="0" w:space="0" w:color="auto"/>
            <w:left w:val="none" w:sz="0" w:space="0" w:color="auto"/>
            <w:bottom w:val="none" w:sz="0" w:space="0" w:color="auto"/>
            <w:right w:val="none" w:sz="0" w:space="0" w:color="auto"/>
          </w:divBdr>
        </w:div>
        <w:div w:id="1920938504">
          <w:marLeft w:val="0"/>
          <w:marRight w:val="0"/>
          <w:marTop w:val="0"/>
          <w:marBottom w:val="0"/>
          <w:divBdr>
            <w:top w:val="none" w:sz="0" w:space="0" w:color="auto"/>
            <w:left w:val="none" w:sz="0" w:space="0" w:color="auto"/>
            <w:bottom w:val="none" w:sz="0" w:space="0" w:color="auto"/>
            <w:right w:val="none" w:sz="0" w:space="0" w:color="auto"/>
          </w:divBdr>
        </w:div>
        <w:div w:id="2126846509">
          <w:marLeft w:val="0"/>
          <w:marRight w:val="0"/>
          <w:marTop w:val="0"/>
          <w:marBottom w:val="0"/>
          <w:divBdr>
            <w:top w:val="none" w:sz="0" w:space="0" w:color="auto"/>
            <w:left w:val="none" w:sz="0" w:space="0" w:color="auto"/>
            <w:bottom w:val="none" w:sz="0" w:space="0" w:color="auto"/>
            <w:right w:val="none" w:sz="0" w:space="0" w:color="auto"/>
          </w:divBdr>
        </w:div>
      </w:divsChild>
    </w:div>
    <w:div w:id="1145123246">
      <w:bodyDiv w:val="1"/>
      <w:marLeft w:val="0"/>
      <w:marRight w:val="0"/>
      <w:marTop w:val="0"/>
      <w:marBottom w:val="0"/>
      <w:divBdr>
        <w:top w:val="none" w:sz="0" w:space="0" w:color="auto"/>
        <w:left w:val="none" w:sz="0" w:space="0" w:color="auto"/>
        <w:bottom w:val="none" w:sz="0" w:space="0" w:color="auto"/>
        <w:right w:val="none" w:sz="0" w:space="0" w:color="auto"/>
      </w:divBdr>
    </w:div>
    <w:div w:id="1287203013">
      <w:bodyDiv w:val="1"/>
      <w:marLeft w:val="0"/>
      <w:marRight w:val="0"/>
      <w:marTop w:val="0"/>
      <w:marBottom w:val="0"/>
      <w:divBdr>
        <w:top w:val="none" w:sz="0" w:space="0" w:color="auto"/>
        <w:left w:val="none" w:sz="0" w:space="0" w:color="auto"/>
        <w:bottom w:val="none" w:sz="0" w:space="0" w:color="auto"/>
        <w:right w:val="none" w:sz="0" w:space="0" w:color="auto"/>
      </w:divBdr>
    </w:div>
    <w:div w:id="1360934795">
      <w:bodyDiv w:val="1"/>
      <w:marLeft w:val="0"/>
      <w:marRight w:val="0"/>
      <w:marTop w:val="0"/>
      <w:marBottom w:val="0"/>
      <w:divBdr>
        <w:top w:val="none" w:sz="0" w:space="0" w:color="auto"/>
        <w:left w:val="none" w:sz="0" w:space="0" w:color="auto"/>
        <w:bottom w:val="none" w:sz="0" w:space="0" w:color="auto"/>
        <w:right w:val="none" w:sz="0" w:space="0" w:color="auto"/>
      </w:divBdr>
    </w:div>
    <w:div w:id="1379470122">
      <w:bodyDiv w:val="1"/>
      <w:marLeft w:val="0"/>
      <w:marRight w:val="0"/>
      <w:marTop w:val="0"/>
      <w:marBottom w:val="0"/>
      <w:divBdr>
        <w:top w:val="none" w:sz="0" w:space="0" w:color="auto"/>
        <w:left w:val="none" w:sz="0" w:space="0" w:color="auto"/>
        <w:bottom w:val="none" w:sz="0" w:space="0" w:color="auto"/>
        <w:right w:val="none" w:sz="0" w:space="0" w:color="auto"/>
      </w:divBdr>
    </w:div>
    <w:div w:id="1433622433">
      <w:bodyDiv w:val="1"/>
      <w:marLeft w:val="0"/>
      <w:marRight w:val="0"/>
      <w:marTop w:val="0"/>
      <w:marBottom w:val="0"/>
      <w:divBdr>
        <w:top w:val="none" w:sz="0" w:space="0" w:color="auto"/>
        <w:left w:val="none" w:sz="0" w:space="0" w:color="auto"/>
        <w:bottom w:val="none" w:sz="0" w:space="0" w:color="auto"/>
        <w:right w:val="none" w:sz="0" w:space="0" w:color="auto"/>
      </w:divBdr>
    </w:div>
    <w:div w:id="1503279065">
      <w:bodyDiv w:val="1"/>
      <w:marLeft w:val="0"/>
      <w:marRight w:val="0"/>
      <w:marTop w:val="0"/>
      <w:marBottom w:val="0"/>
      <w:divBdr>
        <w:top w:val="none" w:sz="0" w:space="0" w:color="auto"/>
        <w:left w:val="none" w:sz="0" w:space="0" w:color="auto"/>
        <w:bottom w:val="none" w:sz="0" w:space="0" w:color="auto"/>
        <w:right w:val="none" w:sz="0" w:space="0" w:color="auto"/>
      </w:divBdr>
    </w:div>
    <w:div w:id="1534464167">
      <w:bodyDiv w:val="1"/>
      <w:marLeft w:val="0"/>
      <w:marRight w:val="0"/>
      <w:marTop w:val="0"/>
      <w:marBottom w:val="0"/>
      <w:divBdr>
        <w:top w:val="none" w:sz="0" w:space="0" w:color="auto"/>
        <w:left w:val="none" w:sz="0" w:space="0" w:color="auto"/>
        <w:bottom w:val="none" w:sz="0" w:space="0" w:color="auto"/>
        <w:right w:val="none" w:sz="0" w:space="0" w:color="auto"/>
      </w:divBdr>
    </w:div>
    <w:div w:id="1628588851">
      <w:bodyDiv w:val="1"/>
      <w:marLeft w:val="0"/>
      <w:marRight w:val="0"/>
      <w:marTop w:val="0"/>
      <w:marBottom w:val="0"/>
      <w:divBdr>
        <w:top w:val="none" w:sz="0" w:space="0" w:color="auto"/>
        <w:left w:val="none" w:sz="0" w:space="0" w:color="auto"/>
        <w:bottom w:val="none" w:sz="0" w:space="0" w:color="auto"/>
        <w:right w:val="none" w:sz="0" w:space="0" w:color="auto"/>
      </w:divBdr>
    </w:div>
    <w:div w:id="1714884890">
      <w:bodyDiv w:val="1"/>
      <w:marLeft w:val="0"/>
      <w:marRight w:val="0"/>
      <w:marTop w:val="0"/>
      <w:marBottom w:val="0"/>
      <w:divBdr>
        <w:top w:val="none" w:sz="0" w:space="0" w:color="auto"/>
        <w:left w:val="none" w:sz="0" w:space="0" w:color="auto"/>
        <w:bottom w:val="none" w:sz="0" w:space="0" w:color="auto"/>
        <w:right w:val="none" w:sz="0" w:space="0" w:color="auto"/>
      </w:divBdr>
    </w:div>
    <w:div w:id="1747070601">
      <w:bodyDiv w:val="1"/>
      <w:marLeft w:val="0"/>
      <w:marRight w:val="0"/>
      <w:marTop w:val="0"/>
      <w:marBottom w:val="0"/>
      <w:divBdr>
        <w:top w:val="none" w:sz="0" w:space="0" w:color="auto"/>
        <w:left w:val="none" w:sz="0" w:space="0" w:color="auto"/>
        <w:bottom w:val="none" w:sz="0" w:space="0" w:color="auto"/>
        <w:right w:val="none" w:sz="0" w:space="0" w:color="auto"/>
      </w:divBdr>
    </w:div>
    <w:div w:id="1759207732">
      <w:bodyDiv w:val="1"/>
      <w:marLeft w:val="0"/>
      <w:marRight w:val="0"/>
      <w:marTop w:val="0"/>
      <w:marBottom w:val="0"/>
      <w:divBdr>
        <w:top w:val="none" w:sz="0" w:space="0" w:color="auto"/>
        <w:left w:val="none" w:sz="0" w:space="0" w:color="auto"/>
        <w:bottom w:val="none" w:sz="0" w:space="0" w:color="auto"/>
        <w:right w:val="none" w:sz="0" w:space="0" w:color="auto"/>
      </w:divBdr>
    </w:div>
    <w:div w:id="1822694315">
      <w:bodyDiv w:val="1"/>
      <w:marLeft w:val="0"/>
      <w:marRight w:val="0"/>
      <w:marTop w:val="0"/>
      <w:marBottom w:val="0"/>
      <w:divBdr>
        <w:top w:val="none" w:sz="0" w:space="0" w:color="auto"/>
        <w:left w:val="none" w:sz="0" w:space="0" w:color="auto"/>
        <w:bottom w:val="none" w:sz="0" w:space="0" w:color="auto"/>
        <w:right w:val="none" w:sz="0" w:space="0" w:color="auto"/>
      </w:divBdr>
    </w:div>
    <w:div w:id="1911649160">
      <w:bodyDiv w:val="1"/>
      <w:marLeft w:val="0"/>
      <w:marRight w:val="0"/>
      <w:marTop w:val="0"/>
      <w:marBottom w:val="0"/>
      <w:divBdr>
        <w:top w:val="none" w:sz="0" w:space="0" w:color="auto"/>
        <w:left w:val="none" w:sz="0" w:space="0" w:color="auto"/>
        <w:bottom w:val="none" w:sz="0" w:space="0" w:color="auto"/>
        <w:right w:val="none" w:sz="0" w:space="0" w:color="auto"/>
      </w:divBdr>
    </w:div>
    <w:div w:id="1927180516">
      <w:bodyDiv w:val="1"/>
      <w:marLeft w:val="0"/>
      <w:marRight w:val="0"/>
      <w:marTop w:val="0"/>
      <w:marBottom w:val="0"/>
      <w:divBdr>
        <w:top w:val="none" w:sz="0" w:space="0" w:color="auto"/>
        <w:left w:val="none" w:sz="0" w:space="0" w:color="auto"/>
        <w:bottom w:val="none" w:sz="0" w:space="0" w:color="auto"/>
        <w:right w:val="none" w:sz="0" w:space="0" w:color="auto"/>
      </w:divBdr>
    </w:div>
    <w:div w:id="1972130439">
      <w:bodyDiv w:val="1"/>
      <w:marLeft w:val="0"/>
      <w:marRight w:val="0"/>
      <w:marTop w:val="0"/>
      <w:marBottom w:val="0"/>
      <w:divBdr>
        <w:top w:val="none" w:sz="0" w:space="0" w:color="auto"/>
        <w:left w:val="none" w:sz="0" w:space="0" w:color="auto"/>
        <w:bottom w:val="none" w:sz="0" w:space="0" w:color="auto"/>
        <w:right w:val="none" w:sz="0" w:space="0" w:color="auto"/>
      </w:divBdr>
    </w:div>
    <w:div w:id="212823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uskadi.eus/contenidos/informacion/identidad_corporativa_daem/es_def/adjuntos/manual_id_corporativa.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skadi.eus/contenidos/informacion/identidad_corporativa_daem/es_def/adjuntos/manual_id_corporativa.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A0C852A55C954CBE74E18457887B7E" ma:contentTypeVersion="13" ma:contentTypeDescription="Create a new document." ma:contentTypeScope="" ma:versionID="f0ef30ad13e86a2a7f0877716a3c8f2e">
  <xsd:schema xmlns:xsd="http://www.w3.org/2001/XMLSchema" xmlns:xs="http://www.w3.org/2001/XMLSchema" xmlns:p="http://schemas.microsoft.com/office/2006/metadata/properties" xmlns:ns3="4dc9b269-a77d-4604-8683-812c7f79ddfb" xmlns:ns4="18bedda5-75c3-4ac5-ae54-9cb83aa7086a" targetNamespace="http://schemas.microsoft.com/office/2006/metadata/properties" ma:root="true" ma:fieldsID="ca0c605d1d88570ed5c134a89cb4b4a1" ns3:_="" ns4:_="">
    <xsd:import namespace="4dc9b269-a77d-4604-8683-812c7f79ddfb"/>
    <xsd:import namespace="18bedda5-75c3-4ac5-ae54-9cb83aa708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9b269-a77d-4604-8683-812c7f79d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edda5-75c3-4ac5-ae54-9cb83aa708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CB85B-A0B9-45E4-8B95-622FF394565F}">
  <ds:schemaRefs>
    <ds:schemaRef ds:uri="http://schemas.microsoft.com/office/2006/metadata/properties"/>
    <ds:schemaRef ds:uri="http://purl.org/dc/terms/"/>
    <ds:schemaRef ds:uri="http://schemas.openxmlformats.org/package/2006/metadata/core-properties"/>
    <ds:schemaRef ds:uri="http://purl.org/dc/dcmitype/"/>
    <ds:schemaRef ds:uri="18bedda5-75c3-4ac5-ae54-9cb83aa7086a"/>
    <ds:schemaRef ds:uri="http://schemas.microsoft.com/office/infopath/2007/PartnerControls"/>
    <ds:schemaRef ds:uri="http://schemas.microsoft.com/office/2006/documentManagement/types"/>
    <ds:schemaRef ds:uri="4dc9b269-a77d-4604-8683-812c7f79ddfb"/>
    <ds:schemaRef ds:uri="http://www.w3.org/XML/1998/namespace"/>
    <ds:schemaRef ds:uri="http://purl.org/dc/elements/1.1/"/>
  </ds:schemaRefs>
</ds:datastoreItem>
</file>

<file path=customXml/itemProps2.xml><?xml version="1.0" encoding="utf-8"?>
<ds:datastoreItem xmlns:ds="http://schemas.openxmlformats.org/officeDocument/2006/customXml" ds:itemID="{C2597290-B845-4805-B99E-359BD9092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9b269-a77d-4604-8683-812c7f79ddfb"/>
    <ds:schemaRef ds:uri="18bedda5-75c3-4ac5-ae54-9cb83aa70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2183EC-9FE2-49BD-8A57-95DDBD3FB503}">
  <ds:schemaRefs>
    <ds:schemaRef ds:uri="http://schemas.microsoft.com/sharepoint/v3/contenttype/forms"/>
  </ds:schemaRefs>
</ds:datastoreItem>
</file>

<file path=customXml/itemProps4.xml><?xml version="1.0" encoding="utf-8"?>
<ds:datastoreItem xmlns:ds="http://schemas.openxmlformats.org/officeDocument/2006/customXml" ds:itemID="{B2E16262-3D31-4D80-87AD-01A54A2B9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3037</Words>
  <Characters>24035</Characters>
  <Application>Microsoft Office Word</Application>
  <DocSecurity>4</DocSecurity>
  <Lines>200</Lines>
  <Paragraphs>54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Erref.</vt:lpstr>
      <vt:lpstr>Ref.</vt:lpstr>
    </vt:vector>
  </TitlesOfParts>
  <Company>EJIE</Company>
  <LinksUpToDate>false</LinksUpToDate>
  <CharactersWithSpaces>27018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Erref.</dc:title>
  <dc:creator>Marta Sierra</dc:creator>
  <cp:lastModifiedBy>De la Serna López de Armentia, Luis Vidal</cp:lastModifiedBy>
  <cp:revision>2</cp:revision>
  <cp:lastPrinted>2020-10-23T09:35:00Z</cp:lastPrinted>
  <dcterms:created xsi:type="dcterms:W3CDTF">2023-09-12T08:14:00Z</dcterms:created>
  <dcterms:modified xsi:type="dcterms:W3CDTF">2023-09-12T08:14:00Z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0x0101003CA0C852A55C954CBE74E18457887B7E</vt:lpwstr>
  </property>
</Properties>
</file>