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E3A29" w14:textId="77777777" w:rsidR="00402017" w:rsidRPr="00965EA6" w:rsidRDefault="00891DD8" w:rsidP="00426B3C">
      <w:pPr>
        <w:pStyle w:val="Sangradetextonormal"/>
        <w:tabs>
          <w:tab w:val="clear" w:pos="1702"/>
          <w:tab w:val="clear" w:pos="4253"/>
          <w:tab w:val="clear" w:pos="5104"/>
          <w:tab w:val="clear" w:pos="5812"/>
        </w:tabs>
        <w:spacing w:before="0" w:after="0"/>
        <w:ind w:firstLine="0"/>
        <w:jc w:val="both"/>
        <w:rPr>
          <w:rFonts w:ascii="Arial" w:hAnsi="Arial" w:cs="Arial"/>
          <w:b/>
          <w:sz w:val="16"/>
          <w:szCs w:val="16"/>
          <w:lang w:val="eu-ES"/>
        </w:rPr>
      </w:pPr>
    </w:p>
    <w:p w14:paraId="114A202C" w14:textId="77777777" w:rsidR="00EE0139" w:rsidRPr="00965EA6" w:rsidRDefault="00891DD8">
      <w:pPr>
        <w:rPr>
          <w:u w:val="single"/>
          <w:lang w:val="eu-ES"/>
        </w:rPr>
      </w:pPr>
    </w:p>
    <w:p w14:paraId="63C0F367" w14:textId="77777777" w:rsidR="00D20995" w:rsidRPr="00965EA6" w:rsidRDefault="00891DD8" w:rsidP="00663BA9">
      <w:pPr>
        <w:pStyle w:val="Sangradetextonormal"/>
        <w:tabs>
          <w:tab w:val="clear" w:pos="1702"/>
          <w:tab w:val="clear" w:pos="4253"/>
          <w:tab w:val="clear" w:pos="5104"/>
          <w:tab w:val="clear" w:pos="5812"/>
        </w:tabs>
        <w:spacing w:before="0" w:after="0"/>
        <w:ind w:firstLine="0"/>
        <w:jc w:val="both"/>
        <w:rPr>
          <w:rFonts w:ascii="Arial" w:hAnsi="Arial" w:cs="Arial"/>
          <w:sz w:val="16"/>
          <w:szCs w:val="16"/>
          <w:lang w:val="eu-ES"/>
        </w:rPr>
      </w:pPr>
      <w:bookmarkStart w:id="0" w:name="RESOLUCION"/>
    </w:p>
    <w:p w14:paraId="7C4691D4" w14:textId="7F288673" w:rsidR="00EB05EC" w:rsidRPr="00965EA6" w:rsidRDefault="00EF1C04" w:rsidP="00EB05EC">
      <w:pPr>
        <w:pStyle w:val="Normal0"/>
        <w:spacing w:before="240" w:after="480"/>
        <w:rPr>
          <w:b/>
          <w:sz w:val="24"/>
          <w:lang w:val="eu-ES"/>
        </w:rPr>
      </w:pPr>
      <w:r w:rsidRPr="00965EA6">
        <w:rPr>
          <w:b/>
          <w:sz w:val="24"/>
          <w:lang w:val="eu-ES"/>
        </w:rPr>
        <w:t>1455/2022</w:t>
      </w:r>
      <w:r w:rsidR="00965EA6" w:rsidRPr="00965EA6">
        <w:rPr>
          <w:b/>
          <w:sz w:val="24"/>
          <w:lang w:val="eu-ES"/>
        </w:rPr>
        <w:t xml:space="preserve"> EBAZPENA</w:t>
      </w:r>
      <w:r w:rsidRPr="00965EA6">
        <w:rPr>
          <w:b/>
          <w:sz w:val="24"/>
          <w:lang w:val="eu-ES"/>
        </w:rPr>
        <w:t xml:space="preserve">, </w:t>
      </w:r>
      <w:r w:rsidR="00965EA6" w:rsidRPr="00965EA6">
        <w:rPr>
          <w:b/>
          <w:sz w:val="24"/>
          <w:lang w:val="eu-ES"/>
        </w:rPr>
        <w:t>apirilaren 19koa.</w:t>
      </w:r>
    </w:p>
    <w:p w14:paraId="3A5562EF" w14:textId="50E708CE" w:rsidR="00F91A6B" w:rsidRPr="00965EA6" w:rsidRDefault="00965EA6" w:rsidP="00F91A6B">
      <w:pPr>
        <w:pStyle w:val="Normal0"/>
        <w:tabs>
          <w:tab w:val="right" w:pos="8789"/>
        </w:tabs>
        <w:spacing w:after="480"/>
        <w:rPr>
          <w:rFonts w:cs="Times New Roman"/>
          <w:sz w:val="22"/>
          <w:szCs w:val="22"/>
          <w:lang w:val="eu-ES"/>
        </w:rPr>
      </w:pPr>
      <w:r>
        <w:rPr>
          <w:rFonts w:cs="Times New Roman"/>
          <w:sz w:val="22"/>
          <w:lang w:val="eu-ES"/>
        </w:rPr>
        <w:t>T</w:t>
      </w:r>
      <w:r w:rsidRPr="00965EA6">
        <w:rPr>
          <w:rFonts w:cs="Times New Roman"/>
          <w:sz w:val="22"/>
          <w:lang w:val="eu-ES"/>
        </w:rPr>
        <w:t>oki Finantzaketarako eta Administrazio Kudeaketarako Zerbitzua</w:t>
      </w:r>
      <w:r w:rsidR="008147E8" w:rsidRPr="00965EA6">
        <w:rPr>
          <w:rFonts w:cs="Times New Roman"/>
          <w:sz w:val="22"/>
          <w:lang w:val="eu-ES"/>
        </w:rPr>
        <w:br/>
      </w:r>
      <w:r>
        <w:rPr>
          <w:rFonts w:cs="Times New Roman"/>
          <w:sz w:val="22"/>
          <w:lang w:val="eu-ES"/>
        </w:rPr>
        <w:t>Espediente zenbakia:</w:t>
      </w:r>
      <w:r w:rsidR="00B20684" w:rsidRPr="00965EA6">
        <w:rPr>
          <w:sz w:val="22"/>
          <w:szCs w:val="22"/>
          <w:lang w:val="eu-ES"/>
        </w:rPr>
        <w:t xml:space="preserve"> 2022/0006</w:t>
      </w:r>
    </w:p>
    <w:p w14:paraId="3377B952" w14:textId="61A8CD81" w:rsidR="00965EA6" w:rsidRDefault="00965EA6" w:rsidP="00965EA6">
      <w:pPr>
        <w:pStyle w:val="Normal0"/>
        <w:spacing w:after="240"/>
        <w:jc w:val="both"/>
        <w:rPr>
          <w:b/>
          <w:sz w:val="22"/>
          <w:szCs w:val="22"/>
          <w:lang w:val="eu-ES"/>
        </w:rPr>
      </w:pPr>
      <w:r w:rsidRPr="00965EA6">
        <w:rPr>
          <w:b/>
          <w:sz w:val="22"/>
          <w:szCs w:val="22"/>
          <w:highlight w:val="black"/>
          <w:lang w:val="eu-ES"/>
        </w:rPr>
        <w:t>xxxxx</w:t>
      </w:r>
      <w:r w:rsidRPr="00965EA6">
        <w:rPr>
          <w:b/>
          <w:sz w:val="22"/>
          <w:szCs w:val="22"/>
          <w:lang w:val="eu-ES"/>
        </w:rPr>
        <w:t xml:space="preserve"> (e) k informazio publikoa eskuratzeko aurkeztutako eskaera, Arabako Suhiltzaileak erakunde autonomoaren Administrazio Kontseiluaren hainbat akta eskatuz.</w:t>
      </w:r>
    </w:p>
    <w:p w14:paraId="22083433" w14:textId="08B996BE" w:rsidR="00965EA6" w:rsidRDefault="00965EA6" w:rsidP="00965EA6">
      <w:pPr>
        <w:pStyle w:val="Normal0"/>
        <w:spacing w:after="240"/>
        <w:jc w:val="both"/>
        <w:rPr>
          <w:sz w:val="22"/>
          <w:szCs w:val="22"/>
          <w:lang w:val="eu-ES"/>
        </w:rPr>
      </w:pPr>
      <w:r w:rsidRPr="00965EA6">
        <w:rPr>
          <w:sz w:val="22"/>
          <w:szCs w:val="22"/>
          <w:lang w:val="eu-ES"/>
        </w:rPr>
        <w:t xml:space="preserve">2022ko martxoaren 14an, </w:t>
      </w:r>
      <w:r w:rsidRPr="00965EA6">
        <w:rPr>
          <w:sz w:val="22"/>
          <w:szCs w:val="22"/>
          <w:highlight w:val="black"/>
          <w:lang w:val="eu-ES"/>
        </w:rPr>
        <w:t>xxxxx</w:t>
      </w:r>
      <w:r w:rsidRPr="00965EA6">
        <w:rPr>
          <w:sz w:val="22"/>
          <w:szCs w:val="22"/>
          <w:lang w:val="eu-ES"/>
        </w:rPr>
        <w:t xml:space="preserve"> erregistro-zenbakiarekin, Arabako Foru Aldundiaren Erregistro Elektroniko Komunean sartu zen </w:t>
      </w:r>
      <w:r w:rsidRPr="00965EA6">
        <w:rPr>
          <w:sz w:val="22"/>
          <w:szCs w:val="22"/>
          <w:highlight w:val="black"/>
          <w:lang w:val="eu-ES"/>
        </w:rPr>
        <w:t>xxxxx</w:t>
      </w:r>
      <w:r>
        <w:rPr>
          <w:sz w:val="22"/>
          <w:szCs w:val="22"/>
          <w:lang w:val="eu-ES"/>
        </w:rPr>
        <w:t xml:space="preserve">k </w:t>
      </w:r>
      <w:r w:rsidRPr="00965EA6">
        <w:rPr>
          <w:sz w:val="22"/>
          <w:szCs w:val="22"/>
          <w:lang w:val="eu-ES"/>
        </w:rPr>
        <w:t>aurkeztutako informazio publikoa eskuratzeko eskaera, Gardentasunari, Herritarren Partaidetzari eta Gobernu Onari buruzko otsailaren 8ko 1/2017 Foru Arauaren babesean. Eskaera horretan, "Arabako Suhiltzaileak erakunde autonomoaren Administrazio Kontseiluaren 2021eko eta 2022ko gai-zerrenden eta akten kopia" eskatzen da, bai eta kontseilariei bidalitako dokumentazioa ere (txostenak, etab.), Kontseiluaren erabakiak hartzeko edo ez hartzeko ".</w:t>
      </w:r>
    </w:p>
    <w:p w14:paraId="0EB0E65A" w14:textId="7CC8DF8B" w:rsidR="00965EA6" w:rsidRDefault="00965EA6" w:rsidP="00965EA6">
      <w:pPr>
        <w:pStyle w:val="Normal0"/>
        <w:spacing w:after="240"/>
        <w:jc w:val="both"/>
        <w:rPr>
          <w:sz w:val="22"/>
          <w:szCs w:val="22"/>
          <w:lang w:val="eu-ES"/>
        </w:rPr>
      </w:pPr>
      <w:r w:rsidRPr="00965EA6">
        <w:rPr>
          <w:sz w:val="22"/>
          <w:szCs w:val="22"/>
          <w:lang w:val="eu-ES"/>
        </w:rPr>
        <w:t>Eskaera Gardentasunari, Herritarren Partaidetzari eta Gobernu Onari buruzko otsailaren 8ko 1/2017 Foru Arauan oinarritzen da, eta argitzen du, interesdunaren aurka hasitako zehapen-prozedura batean interesduna denez, ez zaizkiola aplikatzen haren 31.b) artikuluan jasotako mugak, ez-zilegi penalen edo arau-hauste administratiboen prebentzioari, ikerketari eta zehapenari buruzkoak.</w:t>
      </w:r>
    </w:p>
    <w:p w14:paraId="11F6A058" w14:textId="326F8DE0" w:rsidR="00965EA6" w:rsidRDefault="00965EA6" w:rsidP="00965EA6">
      <w:pPr>
        <w:pStyle w:val="Normal0"/>
        <w:spacing w:after="240"/>
        <w:jc w:val="both"/>
        <w:rPr>
          <w:sz w:val="22"/>
          <w:szCs w:val="22"/>
          <w:lang w:val="eu-ES"/>
        </w:rPr>
      </w:pPr>
      <w:r w:rsidRPr="00965EA6">
        <w:rPr>
          <w:sz w:val="22"/>
          <w:szCs w:val="22"/>
          <w:lang w:val="eu-ES"/>
        </w:rPr>
        <w:t xml:space="preserve">Arabako Foru Suhiltzaileak erakunde autonomoari (aurrerantzean, </w:t>
      </w:r>
      <w:r>
        <w:rPr>
          <w:sz w:val="22"/>
          <w:szCs w:val="22"/>
          <w:lang w:val="eu-ES"/>
        </w:rPr>
        <w:t>AFSEA</w:t>
      </w:r>
      <w:r w:rsidRPr="00965EA6">
        <w:rPr>
          <w:sz w:val="22"/>
          <w:szCs w:val="22"/>
          <w:lang w:val="eu-ES"/>
        </w:rPr>
        <w:t xml:space="preserve">) aplikatu beharreko araubide juridikoa erregulatzen duen araudia hartu behar dugu abiapuntutzat; izan ere, erakunde hori sortzeko uztailaren 13ko 8/2016 Foru Arauan, haren estatutuetan eta antolaketa- eta funtzionamendu-erregelamenduan ez da ezer ezartzen Administrazio Kontseiluaren ohiko jardueren </w:t>
      </w:r>
      <w:r w:rsidR="00EB30A9">
        <w:rPr>
          <w:sz w:val="22"/>
          <w:szCs w:val="22"/>
          <w:lang w:val="eu-ES"/>
        </w:rPr>
        <w:t>sarbideari</w:t>
      </w:r>
      <w:r w:rsidRPr="00965EA6">
        <w:rPr>
          <w:sz w:val="22"/>
          <w:szCs w:val="22"/>
          <w:lang w:val="eu-ES"/>
        </w:rPr>
        <w:t xml:space="preserve"> edo konfidentzialtasunari buruz, ez eta jarduera horiek jasota dauden dokumentuei buruz ere (deialdiak, gai-zerrendak, eztabaidak, akordioak, horien oinarri izan den dokumentazioa eta aktak). Beraz, </w:t>
      </w:r>
      <w:r>
        <w:rPr>
          <w:sz w:val="22"/>
          <w:szCs w:val="22"/>
          <w:lang w:val="eu-ES"/>
        </w:rPr>
        <w:t>AFSEAren</w:t>
      </w:r>
      <w:r w:rsidRPr="00965EA6">
        <w:rPr>
          <w:sz w:val="22"/>
          <w:szCs w:val="22"/>
          <w:lang w:val="eu-ES"/>
        </w:rPr>
        <w:t xml:space="preserve"> estatutuen 18.6 artikuluaren arabera, kide anitzeko organoak arautzen dituzten administrazio-zuzenbideko arauen aplikazio subsidiarioa aurreikusten baitu, bidezkoa da horietara jotzea. Horrela, Sektore Publikoaren Araubide Juridikoaren urriaren 1eko 40/2015 Legearen (SPAJL) 17. artikuluak, quorum unibertsalaren kasuan izan ezik, organoa balioz eratzeko, aldez aurretik kideen deialdia egin behar da, eta bertan gai-zerrenda jaso behar da, horrek deliberazioen eta erabakien baliozkotasuna baldintzatzen baitu.</w:t>
      </w:r>
    </w:p>
    <w:p w14:paraId="0703E76E" w14:textId="36D09899" w:rsidR="00EB30A9" w:rsidRDefault="00EB30A9" w:rsidP="00EB30A9">
      <w:pPr>
        <w:pStyle w:val="Normal0"/>
        <w:spacing w:after="240"/>
        <w:jc w:val="both"/>
        <w:rPr>
          <w:sz w:val="22"/>
          <w:szCs w:val="22"/>
          <w:lang w:val="eu-ES"/>
        </w:rPr>
      </w:pPr>
      <w:r w:rsidRPr="00EB30A9">
        <w:rPr>
          <w:sz w:val="22"/>
          <w:szCs w:val="22"/>
          <w:lang w:val="eu-ES"/>
        </w:rPr>
        <w:t xml:space="preserve">Eskatutako informazioaren izaera kontuan hartuta, eta </w:t>
      </w:r>
      <w:r>
        <w:rPr>
          <w:sz w:val="22"/>
          <w:szCs w:val="22"/>
          <w:lang w:val="eu-ES"/>
        </w:rPr>
        <w:t>AFSE</w:t>
      </w:r>
      <w:r w:rsidRPr="00EB30A9">
        <w:rPr>
          <w:sz w:val="22"/>
          <w:szCs w:val="22"/>
          <w:lang w:val="eu-ES"/>
        </w:rPr>
        <w:t xml:space="preserve">Ari dagokionez, deialdien eta gai-zerrenden publizitate aktiboari buruzko araurik edo aurreikuspenik ez dagoenez, gardentasunari buruzko araudian ezarritako </w:t>
      </w:r>
      <w:r>
        <w:rPr>
          <w:sz w:val="22"/>
          <w:szCs w:val="22"/>
          <w:lang w:val="eu-ES"/>
        </w:rPr>
        <w:t>sarbide</w:t>
      </w:r>
      <w:r w:rsidRPr="00EB30A9">
        <w:rPr>
          <w:sz w:val="22"/>
          <w:szCs w:val="22"/>
          <w:lang w:val="eu-ES"/>
        </w:rPr>
        <w:t>-arau orokorrak aplikatu beharko dira, eta aztertu egin beharko da ea informazioa eskuratzea ez onartzea edo ukatzea justifikatzen duten arrazoietako bat dagoen, ezin baita eztabaidatu edo erabaki gai-zerrendan jasota ez dagoen gairik. Beraz, ezinbestekoa da gai-zerrenda eskuratzea akordioen legezkotasuna zehazteko, eta ezin dira informazio osagarritzat jo; beraz, ez da aplikatzekoa abenduaren 9ko 19/2013 Legearen (gardentasunari, informazio publikoa eskuratzeko bideari eta gobernu onari buruzkoaren) 18.1 artikuluan jasotako ez-onartzeko arrazoia, informazio osagarriari edo laguntzakoari buruzkoa. Hartu beharreko erabakien oinarri gisa Administrazio Kontseiluko kideei bidalitako dokumentazioari dagokionez, gai-zerrendak eta aktak bezala, gardentasunari buruzko araudian jasotako irizpide eta arau berberak bete beharko dira.</w:t>
      </w:r>
    </w:p>
    <w:p w14:paraId="104ABF89" w14:textId="466AC2DB" w:rsidR="00847DA4" w:rsidRDefault="00847DA4" w:rsidP="00847DA4">
      <w:pPr>
        <w:pStyle w:val="Normal0"/>
        <w:spacing w:after="240"/>
        <w:jc w:val="both"/>
        <w:rPr>
          <w:sz w:val="22"/>
          <w:szCs w:val="22"/>
          <w:lang w:val="eu-ES"/>
        </w:rPr>
      </w:pPr>
      <w:r w:rsidRPr="00847DA4">
        <w:rPr>
          <w:sz w:val="22"/>
          <w:szCs w:val="22"/>
          <w:lang w:val="eu-ES"/>
        </w:rPr>
        <w:t xml:space="preserve">Akta, era berean, eskuragarria izan behar da kide anitzeko organoak onartzen duenetik; izan ere, akta onartzeak bihurtzen du zirriborroa behin betiko akta (eta, beraz, Kontseiluko kideek zuzendu ahal izango dute), eta, beraz, </w:t>
      </w:r>
      <w:r w:rsidRPr="00847DA4">
        <w:rPr>
          <w:sz w:val="22"/>
          <w:szCs w:val="22"/>
          <w:lang w:val="eu-ES"/>
        </w:rPr>
        <w:lastRenderedPageBreak/>
        <w:t>une horretara arte zirriborroaz edo abian dagoen informazioaz hitz egin daiteke, eta ez onartzeko arrazoi hori argudiatu liteke, Kontseiluak oraindik onartu ez dituen aktak ez bidaltzeko. Kasu honetan, 2021eko abenduaren 10eko eta 2022ko martxoaren 23ko bilkuretako aktak (Kontseiluak onartu ez dituenak) informazio publikoa eskuratzeko mugetatik kanpo daude. Muga horiek, hain zuzen ere, Herri Administrazioen Araubide Juridikoaren eta Administrazio Prozedura Erkidearen Legearen 18.1 a) artikuluan eta Gardentasunari, informazio publikoa eskuratzeko bideari eta gobernu onari buruzko otsailaren 8ko 1/2017 Foru Arauaren 34. artikuluan daude jasota. Horien arabera, ez dira izapidetzeko onartuko, ebazpen arrazoitu bidez, prestatzen edo argitaratzen ari den informazio orokorrari buruzko eskaerak.</w:t>
      </w:r>
    </w:p>
    <w:p w14:paraId="5FA3684C" w14:textId="40A47F52" w:rsidR="00847DA4" w:rsidRDefault="00847DA4" w:rsidP="00847DA4">
      <w:pPr>
        <w:pStyle w:val="Normal0"/>
        <w:spacing w:after="240"/>
        <w:jc w:val="both"/>
        <w:rPr>
          <w:sz w:val="22"/>
          <w:szCs w:val="22"/>
          <w:lang w:val="eu-ES"/>
        </w:rPr>
      </w:pPr>
      <w:r w:rsidRPr="00847DA4">
        <w:rPr>
          <w:sz w:val="22"/>
          <w:szCs w:val="22"/>
          <w:lang w:val="eu-ES"/>
        </w:rPr>
        <w:t>Azkenik, gogorarazi behar dugu Gardentasunerako eta Gobernu Onerako Kontseiluak (</w:t>
      </w:r>
      <w:r w:rsidR="0006673A">
        <w:rPr>
          <w:sz w:val="22"/>
          <w:szCs w:val="22"/>
          <w:lang w:val="eu-ES"/>
        </w:rPr>
        <w:t>GFK</w:t>
      </w:r>
      <w:r w:rsidRPr="00847DA4">
        <w:rPr>
          <w:sz w:val="22"/>
          <w:szCs w:val="22"/>
          <w:lang w:val="eu-ES"/>
        </w:rPr>
        <w:t xml:space="preserve">) hainbat ebazpenetan eskatu duela kide anitzeko organoek egindako bileren deialdiak, gai-zerrendak eta aktak argitara daitezela; izan ere, honako hau uste du: "kontuan hartu behar da aztertu beharreko gaien berri izateak, azkenean lortutako akordioekin batera, bete-betean lotzen dituela GIBGOLek bere hitzaurrearen hasieran deitzen dien arduradun publikoei egindako </w:t>
      </w:r>
      <w:r w:rsidR="0006673A">
        <w:rPr>
          <w:sz w:val="22"/>
          <w:szCs w:val="22"/>
          <w:lang w:val="eu-ES"/>
        </w:rPr>
        <w:t>kontu hartzearekin</w:t>
      </w:r>
      <w:r w:rsidRPr="00847DA4">
        <w:rPr>
          <w:sz w:val="22"/>
          <w:szCs w:val="22"/>
          <w:lang w:val="eu-ES"/>
        </w:rPr>
        <w:t>, non gardentasuna eta informazioa eskuratzeko eskubidea ere ekintza politiko ororen ardatz gisa hartzen diren" (R/0338/2016 Ebazpena).</w:t>
      </w:r>
    </w:p>
    <w:p w14:paraId="63812B3C" w14:textId="0D91BC40" w:rsidR="00847DA4" w:rsidRDefault="00253D4B" w:rsidP="00253D4B">
      <w:pPr>
        <w:pStyle w:val="Normal0"/>
        <w:spacing w:after="240"/>
        <w:jc w:val="both"/>
        <w:rPr>
          <w:sz w:val="22"/>
          <w:szCs w:val="22"/>
          <w:lang w:val="eu-ES"/>
        </w:rPr>
      </w:pPr>
      <w:r w:rsidRPr="00253D4B">
        <w:rPr>
          <w:sz w:val="22"/>
          <w:szCs w:val="22"/>
          <w:lang w:val="eu-ES"/>
        </w:rPr>
        <w:t xml:space="preserve">Horregatik guztiagatik, gardentasun-araudian ezarritakoaren arabera, eskatutako informazioa aurkeztu beharko litzateke (gai-zerrendak, aktak eta bidalitako dokumentazioa), </w:t>
      </w:r>
      <w:r>
        <w:rPr>
          <w:sz w:val="22"/>
          <w:szCs w:val="22"/>
          <w:lang w:val="eu-ES"/>
        </w:rPr>
        <w:t xml:space="preserve">babestutako </w:t>
      </w:r>
      <w:r w:rsidRPr="00253D4B">
        <w:rPr>
          <w:sz w:val="22"/>
          <w:szCs w:val="22"/>
          <w:lang w:val="eu-ES"/>
        </w:rPr>
        <w:t>datu pertsonal</w:t>
      </w:r>
      <w:r>
        <w:rPr>
          <w:sz w:val="22"/>
          <w:szCs w:val="22"/>
          <w:lang w:val="eu-ES"/>
        </w:rPr>
        <w:t xml:space="preserve">ik </w:t>
      </w:r>
      <w:r w:rsidRPr="00253D4B">
        <w:rPr>
          <w:sz w:val="22"/>
          <w:szCs w:val="22"/>
          <w:lang w:val="eu-ES"/>
        </w:rPr>
        <w:t>gabe.</w:t>
      </w:r>
    </w:p>
    <w:p w14:paraId="58BBF36B" w14:textId="360F2229" w:rsidR="00847DA4" w:rsidRPr="00965EA6" w:rsidRDefault="001962F4" w:rsidP="001962F4">
      <w:pPr>
        <w:pStyle w:val="Normal0"/>
        <w:spacing w:after="240"/>
        <w:jc w:val="both"/>
        <w:rPr>
          <w:sz w:val="22"/>
          <w:szCs w:val="22"/>
          <w:lang w:val="eu-ES"/>
        </w:rPr>
      </w:pPr>
      <w:r w:rsidRPr="001962F4">
        <w:rPr>
          <w:sz w:val="22"/>
          <w:szCs w:val="22"/>
          <w:lang w:val="eu-ES"/>
        </w:rPr>
        <w:t>Ekainaren 17ko 84/2020 Foru Aginduan xedatutakoaren arabera, Lurralde Orekako Zuzendaritzaren titularraren esku uzten da otsailaren 8ko 1/2017 Foru Arauan, Arabako Lurralde Historikoko sektore publikoaren gardentasunari, herritarren parte-hartzeari eta gobernu onari buruzkoan, aurreikusitako informazio publikoa eskuratzeko eskaeren ebazpena, Zuzendaritza horretan izapidetzen direnak,</w:t>
      </w:r>
    </w:p>
    <w:p w14:paraId="420B5C3E" w14:textId="0F1FD68C" w:rsidR="00EB05EC" w:rsidRPr="00965EA6" w:rsidRDefault="001962F4" w:rsidP="00EB05EC">
      <w:pPr>
        <w:pStyle w:val="Heading10"/>
        <w:rPr>
          <w:rFonts w:ascii="Times New Roman" w:hAnsi="Times New Roman"/>
          <w:lang w:val="eu-ES"/>
        </w:rPr>
      </w:pPr>
      <w:r>
        <w:rPr>
          <w:rFonts w:ascii="Times New Roman" w:hAnsi="Times New Roman"/>
          <w:lang w:val="eu-ES"/>
        </w:rPr>
        <w:t>EBAZTEN DUT</w:t>
      </w:r>
    </w:p>
    <w:p w14:paraId="2A81EE2E" w14:textId="0F41E7CA" w:rsidR="001962F4" w:rsidRDefault="00097142" w:rsidP="00097142">
      <w:pPr>
        <w:pStyle w:val="Normal0"/>
        <w:spacing w:after="240"/>
        <w:jc w:val="both"/>
        <w:rPr>
          <w:sz w:val="22"/>
          <w:szCs w:val="22"/>
          <w:lang w:val="eu-ES"/>
        </w:rPr>
      </w:pPr>
      <w:r w:rsidRPr="00097142">
        <w:rPr>
          <w:sz w:val="22"/>
          <w:szCs w:val="22"/>
          <w:lang w:val="eu-ES"/>
        </w:rPr>
        <w:t xml:space="preserve">Lehena. Zati batean onestea </w:t>
      </w:r>
      <w:r w:rsidRPr="00097142">
        <w:rPr>
          <w:sz w:val="22"/>
          <w:szCs w:val="22"/>
          <w:highlight w:val="black"/>
          <w:lang w:val="eu-ES"/>
        </w:rPr>
        <w:t>xxxxx (e)</w:t>
      </w:r>
      <w:r w:rsidRPr="00097142">
        <w:rPr>
          <w:sz w:val="22"/>
          <w:szCs w:val="22"/>
          <w:lang w:val="eu-ES"/>
        </w:rPr>
        <w:t xml:space="preserve"> k egindako eskaera, Gardentasunari, Herritarren Partaidetzari eta Gobernu Onari buruzko otsailaren 8ko 1/2017 Foru Arauaren babesean, Arabako Suhiltzaileak erakunde autonomoaren Administrazio Kontseiluak 2021. eta 2022. urteetarako emandako gai-zerrenden eta akten kopia, hurrengo puntuan xedatutakoa salbu, bai eta kontseilariei bidalitako dokumentazioa ere, Kontseiluaren erabakiak hartzeko edo ez hartzeko, ebazpen honekin batera doazenak.</w:t>
      </w:r>
    </w:p>
    <w:p w14:paraId="3C9B1526" w14:textId="22915433" w:rsidR="001962F4" w:rsidRDefault="00891DD8" w:rsidP="00891DD8">
      <w:pPr>
        <w:pStyle w:val="Normal0"/>
        <w:spacing w:after="240"/>
        <w:jc w:val="both"/>
        <w:rPr>
          <w:sz w:val="22"/>
          <w:szCs w:val="22"/>
          <w:lang w:val="eu-ES"/>
        </w:rPr>
      </w:pPr>
      <w:r w:rsidRPr="00891DD8">
        <w:rPr>
          <w:sz w:val="22"/>
          <w:szCs w:val="22"/>
          <w:lang w:val="eu-ES"/>
        </w:rPr>
        <w:t>Bigarrena. 2021eko abenduaren 10eko eta 2022ko martxoaren 23ko bilkuretako akten kopiak izapidetzeko ez onartzea, Gardentasunari, informazio publikoa eskuratzeko bideari eta gobernu onari buruzko abenduaren 9ko 19/2013 Legearen 18. artikuluan eta otsailaren 8ko 1/2017 Foru Arauaren 34. artikuluan xedatutakoa aplikatuz.</w:t>
      </w:r>
    </w:p>
    <w:p w14:paraId="6E81351C" w14:textId="13C61FE6" w:rsidR="00891DD8" w:rsidRDefault="00891DD8" w:rsidP="00891DD8">
      <w:pPr>
        <w:pStyle w:val="Normal0"/>
        <w:spacing w:after="240"/>
        <w:jc w:val="both"/>
        <w:rPr>
          <w:sz w:val="22"/>
          <w:szCs w:val="22"/>
          <w:lang w:val="eu-ES"/>
        </w:rPr>
      </w:pPr>
      <w:r w:rsidRPr="00891DD8">
        <w:rPr>
          <w:sz w:val="22"/>
          <w:szCs w:val="22"/>
          <w:lang w:val="eu-ES"/>
        </w:rPr>
        <w:t>Hirugarrena. Ebazpen honek amaiera ematen dio administrazio-bideari, eta, beraren aurka, administrazioarekiko auzi-errekurtsoa jarri ahal izango da Vitoria-Gasteizko administrazioarekiko auzien epaitegietan, bi hilabeteko epean, edo, aldez aurretik eta nahi izanez gero, erreklamazioa aurkeztu ahal izango da Gardentasunerako eta Gobernu Onerako Foru Kontseiluan, hilabeteko epean; bi kasuetan, ebazpen hau jakinarazi eta hurrengo egunetik aurrera hasiko da epea.</w:t>
      </w:r>
    </w:p>
    <w:p w14:paraId="598EEAE9" w14:textId="77777777" w:rsidR="005205F5" w:rsidRPr="00965EA6" w:rsidRDefault="008147E8" w:rsidP="005205F5">
      <w:pPr>
        <w:pStyle w:val="Normal0"/>
        <w:spacing w:before="240"/>
        <w:rPr>
          <w:sz w:val="22"/>
          <w:lang w:val="eu-ES"/>
        </w:rPr>
      </w:pPr>
      <w:r w:rsidRPr="00965EA6">
        <w:rPr>
          <w:sz w:val="22"/>
          <w:lang w:val="eu-ES"/>
        </w:rPr>
        <w:t>Vitoria-Gasteiz.</w:t>
      </w:r>
    </w:p>
    <w:tbl>
      <w:tblPr>
        <w:tblW w:w="4204" w:type="dxa"/>
        <w:tblLayout w:type="fixed"/>
        <w:tblCellMar>
          <w:left w:w="70" w:type="dxa"/>
          <w:right w:w="70" w:type="dxa"/>
        </w:tblCellMar>
        <w:tblLook w:val="0000" w:firstRow="0" w:lastRow="0" w:firstColumn="0" w:lastColumn="0" w:noHBand="0" w:noVBand="0"/>
      </w:tblPr>
      <w:tblGrid>
        <w:gridCol w:w="4204"/>
      </w:tblGrid>
      <w:tr w:rsidR="00E857AD" w:rsidRPr="00965EA6" w14:paraId="2ABC51F6" w14:textId="77777777" w:rsidTr="00EB05EC">
        <w:trPr>
          <w:trHeight w:val="1541"/>
        </w:trPr>
        <w:tc>
          <w:tcPr>
            <w:tcW w:w="4204" w:type="dxa"/>
          </w:tcPr>
          <w:p w14:paraId="5AD6C2BC" w14:textId="77777777" w:rsidR="00EB05EC" w:rsidRPr="00965EA6" w:rsidRDefault="008147E8" w:rsidP="005205F5">
            <w:pPr>
              <w:pStyle w:val="Normal0"/>
              <w:tabs>
                <w:tab w:val="right" w:pos="8789"/>
              </w:tabs>
              <w:spacing w:before="1560" w:after="60" w:line="240" w:lineRule="exact"/>
              <w:rPr>
                <w:rFonts w:cs="Times New Roman"/>
                <w:b/>
                <w:sz w:val="22"/>
                <w:lang w:val="eu-ES" w:bidi="ar-SA"/>
              </w:rPr>
            </w:pPr>
            <w:r w:rsidRPr="00965EA6">
              <w:rPr>
                <w:rFonts w:cs="Times New Roman"/>
                <w:b/>
                <w:sz w:val="22"/>
                <w:lang w:val="eu-ES" w:bidi="ar-SA"/>
              </w:rPr>
              <w:t>Jesús María Guinea Díaz de Otálora</w:t>
            </w:r>
          </w:p>
          <w:p w14:paraId="31C341B4" w14:textId="668E4B63" w:rsidR="00EB05EC" w:rsidRPr="00965EA6" w:rsidRDefault="008147E8" w:rsidP="00891DD8">
            <w:pPr>
              <w:pStyle w:val="Normal0"/>
              <w:tabs>
                <w:tab w:val="right" w:pos="8789"/>
              </w:tabs>
              <w:spacing w:after="20" w:line="240" w:lineRule="exact"/>
              <w:jc w:val="both"/>
              <w:rPr>
                <w:rFonts w:cs="Times New Roman"/>
                <w:sz w:val="22"/>
                <w:lang w:val="eu-ES" w:bidi="ar-SA"/>
              </w:rPr>
            </w:pPr>
            <w:r w:rsidRPr="00965EA6">
              <w:rPr>
                <w:rFonts w:cs="Times New Roman"/>
                <w:sz w:val="22"/>
                <w:lang w:val="eu-ES" w:bidi="ar-SA"/>
              </w:rPr>
              <w:t>Lurralde Orekaren zuzendaria</w:t>
            </w:r>
          </w:p>
        </w:tc>
      </w:tr>
      <w:bookmarkEnd w:id="0"/>
    </w:tbl>
    <w:p w14:paraId="73BBF2D5" w14:textId="77777777" w:rsidR="00663BA9" w:rsidRPr="00965EA6" w:rsidRDefault="00891DD8" w:rsidP="00663BA9">
      <w:pPr>
        <w:pStyle w:val="Sangradetextonormal"/>
        <w:tabs>
          <w:tab w:val="clear" w:pos="1702"/>
          <w:tab w:val="clear" w:pos="4253"/>
          <w:tab w:val="clear" w:pos="5104"/>
          <w:tab w:val="clear" w:pos="5812"/>
        </w:tabs>
        <w:spacing w:before="0" w:after="0"/>
        <w:ind w:firstLine="0"/>
        <w:jc w:val="both"/>
        <w:rPr>
          <w:rFonts w:ascii="Arial" w:hAnsi="Arial" w:cs="Arial"/>
          <w:b/>
          <w:sz w:val="16"/>
          <w:szCs w:val="16"/>
          <w:u w:val="single"/>
          <w:lang w:val="eu-ES"/>
        </w:rPr>
      </w:pPr>
    </w:p>
    <w:sectPr w:rsidR="00663BA9" w:rsidRPr="00965EA6" w:rsidSect="00694DEB">
      <w:headerReference w:type="default" r:id="rId8"/>
      <w:headerReference w:type="first" r:id="rId9"/>
      <w:footerReference w:type="first" r:id="rId10"/>
      <w:type w:val="continuous"/>
      <w:pgSz w:w="11907" w:h="16840" w:code="9"/>
      <w:pgMar w:top="2098" w:right="992" w:bottom="1418" w:left="1134" w:header="284" w:footer="284"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5D451" w14:textId="77777777" w:rsidR="00F71548" w:rsidRDefault="00F71548">
      <w:r>
        <w:separator/>
      </w:r>
    </w:p>
  </w:endnote>
  <w:endnote w:type="continuationSeparator" w:id="0">
    <w:p w14:paraId="52D7B39C" w14:textId="77777777" w:rsidR="00F71548" w:rsidRDefault="00F71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0EAF8" w14:textId="3A0D500A" w:rsidR="00694DEB" w:rsidRDefault="00694DEB" w:rsidP="00694DEB">
    <w:pPr>
      <w:pStyle w:val="Piedepgina"/>
    </w:pPr>
  </w:p>
  <w:p w14:paraId="319BA800" w14:textId="77777777" w:rsidR="00694DEB" w:rsidRPr="00694DEB" w:rsidRDefault="00694DEB" w:rsidP="00694DE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291AA" w14:textId="77777777" w:rsidR="00F71548" w:rsidRDefault="00F71548">
      <w:r>
        <w:separator/>
      </w:r>
    </w:p>
  </w:footnote>
  <w:footnote w:type="continuationSeparator" w:id="0">
    <w:p w14:paraId="429CF51C" w14:textId="77777777" w:rsidR="00F71548" w:rsidRDefault="00F715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4536"/>
      <w:gridCol w:w="851"/>
      <w:gridCol w:w="4536"/>
    </w:tblGrid>
    <w:tr w:rsidR="00E857AD" w14:paraId="2965F73F" w14:textId="77777777" w:rsidTr="001A0E0E">
      <w:trPr>
        <w:cantSplit/>
        <w:trHeight w:hRule="exact" w:val="567"/>
      </w:trPr>
      <w:tc>
        <w:tcPr>
          <w:tcW w:w="4536" w:type="dxa"/>
          <w:vAlign w:val="center"/>
        </w:tcPr>
        <w:p w14:paraId="6A15429F" w14:textId="77777777" w:rsidR="00007960" w:rsidRDefault="00891DD8" w:rsidP="0078412B">
          <w:pPr>
            <w:pStyle w:val="Encabezado"/>
          </w:pPr>
        </w:p>
      </w:tc>
      <w:tc>
        <w:tcPr>
          <w:tcW w:w="851" w:type="dxa"/>
          <w:vMerge w:val="restart"/>
          <w:vAlign w:val="center"/>
        </w:tcPr>
        <w:p w14:paraId="4CA9CDAA" w14:textId="77777777" w:rsidR="00007960" w:rsidRDefault="008147E8" w:rsidP="0078412B">
          <w:pPr>
            <w:pStyle w:val="Encabezado"/>
            <w:jc w:val="center"/>
          </w:pPr>
          <w:r>
            <w:rPr>
              <w:noProof/>
              <w:lang w:val="es-ES"/>
            </w:rPr>
            <w:drawing>
              <wp:inline distT="0" distB="0" distL="0" distR="0" wp14:anchorId="492924AA" wp14:editId="4A70754F">
                <wp:extent cx="428625" cy="428625"/>
                <wp:effectExtent l="19050" t="0" r="9525" b="0"/>
                <wp:docPr id="2" name="Imagen 2"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MBOLO 12 X 12"/>
                        <pic:cNvPicPr>
                          <a:picLocks noChangeAspect="1" noChangeArrowheads="1"/>
                        </pic:cNvPicPr>
                      </pic:nvPicPr>
                      <pic:blipFill>
                        <a:blip r:embed="rId1"/>
                        <a:srcRect/>
                        <a:stretch>
                          <a:fillRect/>
                        </a:stretch>
                      </pic:blipFill>
                      <pic:spPr bwMode="auto">
                        <a:xfrm>
                          <a:off x="0" y="0"/>
                          <a:ext cx="428625" cy="428625"/>
                        </a:xfrm>
                        <a:prstGeom prst="rect">
                          <a:avLst/>
                        </a:prstGeom>
                        <a:noFill/>
                        <a:ln w="9525">
                          <a:noFill/>
                          <a:miter lim="800000"/>
                          <a:headEnd/>
                          <a:tailEnd/>
                        </a:ln>
                      </pic:spPr>
                    </pic:pic>
                  </a:graphicData>
                </a:graphic>
              </wp:inline>
            </w:drawing>
          </w:r>
        </w:p>
      </w:tc>
      <w:tc>
        <w:tcPr>
          <w:tcW w:w="4536" w:type="dxa"/>
          <w:vAlign w:val="center"/>
        </w:tcPr>
        <w:p w14:paraId="2943CEEC" w14:textId="77777777" w:rsidR="00007960" w:rsidRDefault="00891DD8" w:rsidP="0078412B">
          <w:pPr>
            <w:pStyle w:val="Encabezado"/>
          </w:pPr>
        </w:p>
      </w:tc>
    </w:tr>
    <w:tr w:rsidR="00E857AD" w14:paraId="08C0D4C1" w14:textId="77777777" w:rsidTr="001A0E0E">
      <w:trPr>
        <w:cantSplit/>
        <w:trHeight w:hRule="exact" w:val="567"/>
      </w:trPr>
      <w:tc>
        <w:tcPr>
          <w:tcW w:w="4536" w:type="dxa"/>
          <w:vAlign w:val="center"/>
        </w:tcPr>
        <w:p w14:paraId="47CAF89D" w14:textId="77777777" w:rsidR="00007960" w:rsidRDefault="00891DD8" w:rsidP="0078412B">
          <w:pPr>
            <w:pStyle w:val="Encabezado"/>
          </w:pPr>
        </w:p>
      </w:tc>
      <w:tc>
        <w:tcPr>
          <w:tcW w:w="851" w:type="dxa"/>
          <w:vMerge/>
          <w:vAlign w:val="center"/>
        </w:tcPr>
        <w:p w14:paraId="50B078E0" w14:textId="77777777" w:rsidR="00007960" w:rsidRDefault="00891DD8" w:rsidP="0078412B">
          <w:pPr>
            <w:pStyle w:val="Encabezado"/>
            <w:jc w:val="center"/>
          </w:pPr>
        </w:p>
      </w:tc>
      <w:tc>
        <w:tcPr>
          <w:tcW w:w="4536" w:type="dxa"/>
          <w:vAlign w:val="center"/>
        </w:tcPr>
        <w:p w14:paraId="1D19FB0D" w14:textId="77777777" w:rsidR="00007960" w:rsidRDefault="00891DD8" w:rsidP="0078412B">
          <w:pPr>
            <w:pStyle w:val="Encabezado"/>
          </w:pPr>
        </w:p>
      </w:tc>
    </w:tr>
  </w:tbl>
  <w:p w14:paraId="68AE97F9" w14:textId="77777777" w:rsidR="00007960" w:rsidRPr="0013766D" w:rsidRDefault="00891DD8">
    <w:pPr>
      <w:pStyle w:val="Encabezado"/>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Ind w:w="108" w:type="dxa"/>
      <w:tblBorders>
        <w:top w:val="nil"/>
        <w:left w:val="nil"/>
        <w:bottom w:val="nil"/>
        <w:right w:val="nil"/>
        <w:insideH w:val="nil"/>
        <w:insideV w:val="nil"/>
      </w:tblBorders>
      <w:tblLayout w:type="fixed"/>
      <w:tblLook w:val="04A0" w:firstRow="1" w:lastRow="0" w:firstColumn="1" w:lastColumn="0" w:noHBand="0" w:noVBand="1"/>
    </w:tblPr>
    <w:tblGrid>
      <w:gridCol w:w="3969"/>
      <w:gridCol w:w="5954"/>
    </w:tblGrid>
    <w:tr w:rsidR="00E857AD" w14:paraId="1E2E0FB8" w14:textId="77777777" w:rsidTr="001F2BE9">
      <w:trPr>
        <w:trHeight w:val="2041"/>
      </w:trPr>
      <w:tc>
        <w:tcPr>
          <w:tcW w:w="3969" w:type="dxa"/>
        </w:tcPr>
        <w:p w14:paraId="15AE5A0E" w14:textId="77777777" w:rsidR="00007960" w:rsidRPr="007F2571" w:rsidRDefault="008147E8" w:rsidP="00470015">
          <w:pPr>
            <w:pStyle w:val="Encabezado"/>
            <w:rPr>
              <w:noProof/>
              <w:sz w:val="16"/>
              <w:szCs w:val="16"/>
              <w:lang w:val="es-ES"/>
            </w:rPr>
          </w:pPr>
          <w:r>
            <w:rPr>
              <w:rFonts w:ascii="Arial" w:hAnsi="Arial" w:cs="Arial"/>
              <w:i/>
              <w:noProof/>
              <w:color w:val="000000" w:themeColor="text1"/>
              <w:sz w:val="12"/>
              <w:szCs w:val="12"/>
              <w:lang w:val="es-ES"/>
            </w:rPr>
            <w:drawing>
              <wp:inline distT="0" distB="0" distL="0" distR="0" wp14:anchorId="57513296" wp14:editId="610E8AFE">
                <wp:extent cx="1566000" cy="1292335"/>
                <wp:effectExtent l="0" t="0" r="0" b="317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FA-Not-Eus-001.png"/>
                        <pic:cNvPicPr/>
                      </pic:nvPicPr>
                      <pic:blipFill>
                        <a:blip r:embed="rId1">
                          <a:extLst>
                            <a:ext uri="{28A0092B-C50C-407E-A947-70E740481C1C}">
                              <a14:useLocalDpi xmlns:a14="http://schemas.microsoft.com/office/drawing/2010/main" val="0"/>
                            </a:ext>
                          </a:extLst>
                        </a:blip>
                        <a:stretch>
                          <a:fillRect/>
                        </a:stretch>
                      </pic:blipFill>
                      <pic:spPr>
                        <a:xfrm>
                          <a:off x="0" y="0"/>
                          <a:ext cx="1566000" cy="1292335"/>
                        </a:xfrm>
                        <a:prstGeom prst="rect">
                          <a:avLst/>
                        </a:prstGeom>
                      </pic:spPr>
                    </pic:pic>
                  </a:graphicData>
                </a:graphic>
              </wp:inline>
            </w:drawing>
          </w:r>
        </w:p>
      </w:tc>
      <w:tc>
        <w:tcPr>
          <w:tcW w:w="5954" w:type="dxa"/>
        </w:tcPr>
        <w:p w14:paraId="5CC17EB6" w14:textId="77777777" w:rsidR="00007960" w:rsidRDefault="00891DD8" w:rsidP="00470015">
          <w:pPr>
            <w:pStyle w:val="Piedepgina"/>
            <w:rPr>
              <w:rFonts w:ascii="Arial" w:hAnsi="Arial" w:cs="Arial"/>
              <w:b/>
              <w:bCs/>
              <w:color w:val="808080" w:themeColor="background1" w:themeShade="80"/>
              <w:sz w:val="12"/>
              <w:szCs w:val="12"/>
              <w:lang w:val="es-ES"/>
            </w:rPr>
          </w:pPr>
        </w:p>
        <w:p w14:paraId="0626EBBB" w14:textId="77777777" w:rsidR="00007960" w:rsidRPr="000B6392" w:rsidRDefault="00891DD8" w:rsidP="00470015">
          <w:pPr>
            <w:pStyle w:val="Encabezado"/>
            <w:rPr>
              <w:rFonts w:ascii="Arial" w:hAnsi="Arial" w:cs="Arial"/>
              <w:b/>
              <w:color w:val="808080" w:themeColor="background1" w:themeShade="80"/>
              <w:sz w:val="16"/>
              <w:szCs w:val="16"/>
            </w:rPr>
          </w:pPr>
        </w:p>
      </w:tc>
    </w:tr>
  </w:tbl>
  <w:p w14:paraId="681DD4D1" w14:textId="77777777" w:rsidR="00007960" w:rsidRPr="0013766D" w:rsidRDefault="00891DD8" w:rsidP="007D03F1">
    <w:pPr>
      <w:pStyle w:val="Encabezado"/>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730DF"/>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B67706"/>
    <w:multiLevelType w:val="singleLevel"/>
    <w:tmpl w:val="0C0A000F"/>
    <w:lvl w:ilvl="0">
      <w:start w:val="1"/>
      <w:numFmt w:val="decimal"/>
      <w:lvlText w:val="%1."/>
      <w:lvlJc w:val="left"/>
      <w:pPr>
        <w:tabs>
          <w:tab w:val="num" w:pos="360"/>
        </w:tabs>
        <w:ind w:left="360" w:hanging="360"/>
      </w:pPr>
    </w:lvl>
  </w:abstractNum>
  <w:abstractNum w:abstractNumId="2" w15:restartNumberingAfterBreak="0">
    <w:nsid w:val="29B06D91"/>
    <w:multiLevelType w:val="singleLevel"/>
    <w:tmpl w:val="0C0A000F"/>
    <w:lvl w:ilvl="0">
      <w:start w:val="1"/>
      <w:numFmt w:val="decimal"/>
      <w:lvlText w:val="%1."/>
      <w:lvlJc w:val="left"/>
      <w:pPr>
        <w:tabs>
          <w:tab w:val="num" w:pos="360"/>
        </w:tabs>
        <w:ind w:left="360" w:hanging="360"/>
      </w:pPr>
    </w:lvl>
  </w:abstractNum>
  <w:abstractNum w:abstractNumId="3" w15:restartNumberingAfterBreak="0">
    <w:nsid w:val="6AAC21F7"/>
    <w:multiLevelType w:val="singleLevel"/>
    <w:tmpl w:val="0C0A000F"/>
    <w:lvl w:ilvl="0">
      <w:start w:val="1"/>
      <w:numFmt w:val="decimal"/>
      <w:lvlText w:val="%1."/>
      <w:lvlJc w:val="left"/>
      <w:pPr>
        <w:tabs>
          <w:tab w:val="num" w:pos="360"/>
        </w:tabs>
        <w:ind w:left="360" w:hanging="360"/>
      </w:pPr>
    </w:lvl>
  </w:abstractNum>
  <w:num w:numId="1" w16cid:durableId="1750883029">
    <w:abstractNumId w:val="0"/>
  </w:num>
  <w:num w:numId="2" w16cid:durableId="544875308">
    <w:abstractNumId w:val="2"/>
  </w:num>
  <w:num w:numId="3" w16cid:durableId="2024889786">
    <w:abstractNumId w:val="1"/>
  </w:num>
  <w:num w:numId="4" w16cid:durableId="19212073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proofState w:grammar="clean"/>
  <w:attachedTemplate r:id="rId1"/>
  <w:doNotTrackMoves/>
  <w:defaultTabStop w:val="709"/>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7AD"/>
    <w:rsid w:val="0006673A"/>
    <w:rsid w:val="00097142"/>
    <w:rsid w:val="00185FE5"/>
    <w:rsid w:val="001913AB"/>
    <w:rsid w:val="001962F4"/>
    <w:rsid w:val="001A70C2"/>
    <w:rsid w:val="00253D4B"/>
    <w:rsid w:val="00504DCE"/>
    <w:rsid w:val="00561A85"/>
    <w:rsid w:val="00694DEB"/>
    <w:rsid w:val="008147E8"/>
    <w:rsid w:val="00847DA4"/>
    <w:rsid w:val="00891DD8"/>
    <w:rsid w:val="008E3955"/>
    <w:rsid w:val="00965EA6"/>
    <w:rsid w:val="00A84A36"/>
    <w:rsid w:val="00B20684"/>
    <w:rsid w:val="00E60485"/>
    <w:rsid w:val="00E857AD"/>
    <w:rsid w:val="00EB30A9"/>
    <w:rsid w:val="00EF1C04"/>
    <w:rsid w:val="00F71548"/>
    <w:rsid w:val="00FB1E66"/>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616622"/>
  <w15:docId w15:val="{1FF8B327-1860-4C94-8F96-2B0C2A1A8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ms Rmn" w:eastAsia="Times New Roman" w:hAnsi="Tms Rm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F13"/>
    <w:rPr>
      <w:sz w:val="24"/>
      <w:lang w:val="es-ES_tradnl"/>
    </w:rPr>
  </w:style>
  <w:style w:type="paragraph" w:styleId="Ttulo1">
    <w:name w:val="heading 1"/>
    <w:basedOn w:val="Normal"/>
    <w:next w:val="Normal"/>
    <w:qFormat/>
    <w:rsid w:val="00807F13"/>
    <w:pPr>
      <w:keepNext/>
      <w:tabs>
        <w:tab w:val="left" w:pos="1702"/>
        <w:tab w:val="left" w:pos="4253"/>
        <w:tab w:val="left" w:pos="5104"/>
        <w:tab w:val="left" w:pos="5812"/>
      </w:tabs>
      <w:spacing w:after="120"/>
      <w:ind w:firstLine="851"/>
      <w:jc w:val="center"/>
      <w:outlineLvl w:val="0"/>
    </w:pPr>
    <w:rPr>
      <w:rFonts w:ascii="Arial" w:hAnsi="Arial"/>
      <w:b/>
      <w:sz w:val="22"/>
    </w:rPr>
  </w:style>
  <w:style w:type="paragraph" w:styleId="Ttulo2">
    <w:name w:val="heading 2"/>
    <w:basedOn w:val="Normal"/>
    <w:next w:val="Normal"/>
    <w:qFormat/>
    <w:rsid w:val="00807F13"/>
    <w:pPr>
      <w:keepNext/>
      <w:tabs>
        <w:tab w:val="left" w:pos="1560"/>
      </w:tabs>
      <w:ind w:right="-780"/>
      <w:outlineLvl w:val="1"/>
    </w:pPr>
    <w:rPr>
      <w:rFonts w:ascii="Arial" w:hAnsi="Arial"/>
      <w:b/>
      <w:sz w:val="22"/>
    </w:rPr>
  </w:style>
  <w:style w:type="paragraph" w:styleId="Ttulo5">
    <w:name w:val="heading 5"/>
    <w:basedOn w:val="Normal"/>
    <w:next w:val="Normal"/>
    <w:link w:val="Ttulo5Car"/>
    <w:qFormat/>
    <w:rsid w:val="00913835"/>
    <w:pPr>
      <w:keepNext/>
      <w:tabs>
        <w:tab w:val="left" w:pos="-851"/>
      </w:tabs>
      <w:spacing w:after="240"/>
      <w:jc w:val="both"/>
      <w:outlineLvl w:val="4"/>
    </w:pPr>
    <w:rPr>
      <w:rFonts w:ascii="Times New Roman" w:hAnsi="Times New Roman"/>
      <w:sz w:val="2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semiHidden/>
    <w:rsid w:val="00807F13"/>
    <w:pPr>
      <w:tabs>
        <w:tab w:val="center" w:pos="4252"/>
        <w:tab w:val="right" w:pos="8504"/>
      </w:tabs>
    </w:pPr>
  </w:style>
  <w:style w:type="paragraph" w:styleId="Encabezado">
    <w:name w:val="header"/>
    <w:basedOn w:val="Normal"/>
    <w:link w:val="EncabezadoCar"/>
    <w:semiHidden/>
    <w:rsid w:val="00807F13"/>
    <w:pPr>
      <w:tabs>
        <w:tab w:val="center" w:pos="4819"/>
        <w:tab w:val="right" w:pos="9071"/>
      </w:tabs>
    </w:pPr>
  </w:style>
  <w:style w:type="paragraph" w:customStyle="1" w:styleId="membrete">
    <w:name w:val="membrete"/>
    <w:basedOn w:val="Normal"/>
    <w:rsid w:val="00807F13"/>
    <w:pPr>
      <w:framePr w:hSpace="142" w:vSpace="142" w:wrap="auto" w:hAnchor="margin" w:xAlign="center"/>
      <w:jc w:val="right"/>
    </w:pPr>
    <w:rPr>
      <w:rFonts w:ascii="Helv" w:hAnsi="Helv"/>
      <w:sz w:val="14"/>
    </w:rPr>
  </w:style>
  <w:style w:type="paragraph" w:customStyle="1" w:styleId="membretei">
    <w:name w:val="membretei"/>
    <w:basedOn w:val="membrete"/>
    <w:rsid w:val="00807F13"/>
    <w:pPr>
      <w:framePr w:hSpace="0" w:vSpace="0" w:wrap="auto" w:hAnchor="text" w:xAlign="left"/>
      <w:spacing w:after="96"/>
    </w:pPr>
  </w:style>
  <w:style w:type="paragraph" w:customStyle="1" w:styleId="membreted">
    <w:name w:val="membreted"/>
    <w:basedOn w:val="Normal"/>
    <w:rsid w:val="00807F13"/>
    <w:rPr>
      <w:rFonts w:ascii="Helv" w:hAnsi="Helv"/>
      <w:b/>
      <w:sz w:val="18"/>
    </w:rPr>
  </w:style>
  <w:style w:type="paragraph" w:styleId="Sangradetextonormal">
    <w:name w:val="Body Text Indent"/>
    <w:basedOn w:val="Normal"/>
    <w:semiHidden/>
    <w:rsid w:val="00807F13"/>
    <w:pPr>
      <w:tabs>
        <w:tab w:val="left" w:pos="1702"/>
        <w:tab w:val="left" w:pos="4253"/>
        <w:tab w:val="left" w:pos="5104"/>
        <w:tab w:val="left" w:pos="5812"/>
      </w:tabs>
      <w:spacing w:before="480" w:after="120"/>
      <w:ind w:firstLine="851"/>
    </w:pPr>
  </w:style>
  <w:style w:type="paragraph" w:styleId="Sangra2detindependiente">
    <w:name w:val="Body Text Indent 2"/>
    <w:basedOn w:val="Normal"/>
    <w:semiHidden/>
    <w:rsid w:val="00807F13"/>
    <w:pPr>
      <w:tabs>
        <w:tab w:val="left" w:pos="1702"/>
      </w:tabs>
      <w:ind w:right="-638" w:firstLine="851"/>
    </w:pPr>
  </w:style>
  <w:style w:type="paragraph" w:styleId="Sangra3detindependiente">
    <w:name w:val="Body Text Indent 3"/>
    <w:basedOn w:val="Normal"/>
    <w:semiHidden/>
    <w:rsid w:val="00807F13"/>
    <w:pPr>
      <w:tabs>
        <w:tab w:val="left" w:pos="1702"/>
        <w:tab w:val="left" w:pos="4253"/>
        <w:tab w:val="left" w:pos="5104"/>
        <w:tab w:val="left" w:pos="5812"/>
      </w:tabs>
      <w:spacing w:after="120"/>
      <w:ind w:left="851"/>
    </w:pPr>
  </w:style>
  <w:style w:type="paragraph" w:styleId="Textoindependiente">
    <w:name w:val="Body Text"/>
    <w:basedOn w:val="Normal"/>
    <w:semiHidden/>
    <w:rsid w:val="00807F13"/>
    <w:pPr>
      <w:spacing w:after="240"/>
      <w:jc w:val="both"/>
    </w:pPr>
    <w:rPr>
      <w:rFonts w:ascii="Arial" w:hAnsi="Arial"/>
      <w:sz w:val="22"/>
    </w:rPr>
  </w:style>
  <w:style w:type="paragraph" w:styleId="Textodeglobo">
    <w:name w:val="Balloon Text"/>
    <w:basedOn w:val="Normal"/>
    <w:link w:val="TextodegloboCar"/>
    <w:uiPriority w:val="99"/>
    <w:semiHidden/>
    <w:unhideWhenUsed/>
    <w:rsid w:val="00405F61"/>
    <w:rPr>
      <w:rFonts w:ascii="Tahoma" w:hAnsi="Tahoma" w:cs="Tahoma"/>
      <w:sz w:val="16"/>
      <w:szCs w:val="16"/>
    </w:rPr>
  </w:style>
  <w:style w:type="character" w:customStyle="1" w:styleId="TextodegloboCar">
    <w:name w:val="Texto de globo Car"/>
    <w:basedOn w:val="Fuentedeprrafopredeter"/>
    <w:link w:val="Textodeglobo"/>
    <w:uiPriority w:val="99"/>
    <w:semiHidden/>
    <w:rsid w:val="00405F61"/>
    <w:rPr>
      <w:rFonts w:ascii="Tahoma" w:hAnsi="Tahoma" w:cs="Tahoma"/>
      <w:sz w:val="16"/>
      <w:szCs w:val="16"/>
      <w:lang w:val="es-ES_tradnl"/>
    </w:rPr>
  </w:style>
  <w:style w:type="table" w:styleId="Tablaconcuadrcula">
    <w:name w:val="Table Grid"/>
    <w:basedOn w:val="Tablanormal"/>
    <w:uiPriority w:val="59"/>
    <w:rsid w:val="00405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7F2571"/>
    <w:rPr>
      <w:color w:val="0000FF" w:themeColor="hyperlink"/>
      <w:u w:val="single"/>
    </w:rPr>
  </w:style>
  <w:style w:type="character" w:customStyle="1" w:styleId="Ttulo5Car">
    <w:name w:val="Título 5 Car"/>
    <w:basedOn w:val="Fuentedeprrafopredeter"/>
    <w:link w:val="Ttulo5"/>
    <w:rsid w:val="00913835"/>
    <w:rPr>
      <w:rFonts w:ascii="Times New Roman" w:hAnsi="Times New Roman"/>
      <w:sz w:val="22"/>
      <w:u w:val="single"/>
      <w:lang w:val="es-ES_tradnl"/>
    </w:rPr>
  </w:style>
  <w:style w:type="paragraph" w:styleId="NormalWeb">
    <w:name w:val="Normal (Web)"/>
    <w:basedOn w:val="Normal"/>
    <w:uiPriority w:val="99"/>
    <w:semiHidden/>
    <w:unhideWhenUsed/>
    <w:rsid w:val="00DF3AA4"/>
    <w:pPr>
      <w:spacing w:before="100" w:beforeAutospacing="1" w:after="100" w:afterAutospacing="1"/>
    </w:pPr>
    <w:rPr>
      <w:rFonts w:ascii="Times New Roman" w:hAnsi="Times New Roman"/>
      <w:szCs w:val="24"/>
      <w:lang w:val="es-ES"/>
    </w:rPr>
  </w:style>
  <w:style w:type="character" w:customStyle="1" w:styleId="EncabezadoCar">
    <w:name w:val="Encabezado Car"/>
    <w:basedOn w:val="Fuentedeprrafopredeter"/>
    <w:link w:val="Encabezado"/>
    <w:semiHidden/>
    <w:rsid w:val="00E72518"/>
    <w:rPr>
      <w:sz w:val="24"/>
      <w:lang w:val="es-ES_tradnl"/>
    </w:rPr>
  </w:style>
  <w:style w:type="character" w:customStyle="1" w:styleId="PiedepginaCar">
    <w:name w:val="Pie de página Car"/>
    <w:basedOn w:val="Fuentedeprrafopredeter"/>
    <w:link w:val="Piedepgina"/>
    <w:semiHidden/>
    <w:rsid w:val="00E72518"/>
    <w:rPr>
      <w:sz w:val="24"/>
      <w:lang w:val="es-ES_tradnl"/>
    </w:rPr>
  </w:style>
  <w:style w:type="paragraph" w:customStyle="1" w:styleId="Normal0">
    <w:name w:val="Normal_0"/>
    <w:qFormat/>
    <w:rPr>
      <w:rFonts w:ascii="Times New Roman" w:hAnsi="Times New Roman" w:cs="Arial"/>
      <w:lang w:val="es-ES_tradnl" w:bidi="or-IN"/>
    </w:rPr>
  </w:style>
  <w:style w:type="paragraph" w:customStyle="1" w:styleId="Heading10">
    <w:name w:val="Heading 1_0"/>
    <w:basedOn w:val="Normal0"/>
    <w:next w:val="Normal0"/>
    <w:qFormat/>
    <w:pPr>
      <w:keepNext/>
      <w:spacing w:before="240" w:after="480"/>
      <w:jc w:val="center"/>
      <w:outlineLvl w:val="0"/>
    </w:pPr>
    <w:rPr>
      <w:rFonts w:ascii="Arial" w:hAnsi="Arial"/>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aganzabal\Desktop\POLICIA\PLANTILLAS\OPPP_PCCOMU01_COM_Autoriza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4740A2-288E-4031-B573-AE301E2B1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OPPP_PCCOMU01_COM_Autorizacion.dotx</Template>
  <TotalTime>53</TotalTime>
  <Pages>2</Pages>
  <Words>816</Words>
  <Characters>6182</Characters>
  <Application>Microsoft Office Word</Application>
  <DocSecurity>0</DocSecurity>
  <Lines>51</Lines>
  <Paragraphs>13</Paragraphs>
  <ScaleCrop>false</ScaleCrop>
  <HeadingPairs>
    <vt:vector size="2" baseType="variant">
      <vt:variant>
        <vt:lpstr>Título</vt:lpstr>
      </vt:variant>
      <vt:variant>
        <vt:i4>1</vt:i4>
      </vt:variant>
    </vt:vector>
  </HeadingPairs>
  <TitlesOfParts>
    <vt:vector size="1" baseType="lpstr">
      <vt:lpstr>Informe de autorización</vt:lpstr>
    </vt:vector>
  </TitlesOfParts>
  <Company>Estudios GiS</Company>
  <LinksUpToDate>false</LinksUpToDate>
  <CharactersWithSpaces>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autorización</dc:title>
  <dc:subject>Permisos de policía</dc:subject>
  <dc:creator>DFA</dc:creator>
  <cp:lastModifiedBy>Urien Salterain, Karoline</cp:lastModifiedBy>
  <cp:revision>9</cp:revision>
  <cp:lastPrinted>2022-04-19T10:20:00Z</cp:lastPrinted>
  <dcterms:created xsi:type="dcterms:W3CDTF">2023-11-20T09:59:00Z</dcterms:created>
  <dcterms:modified xsi:type="dcterms:W3CDTF">2023-11-20T10:52:00Z</dcterms:modified>
</cp:coreProperties>
</file>