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3147" w14:textId="77777777" w:rsidR="00402017" w:rsidRPr="00426B3C" w:rsidRDefault="004624D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7784F47" w14:textId="77777777" w:rsidR="00EE0139" w:rsidRDefault="004624DA">
      <w:pPr>
        <w:rPr>
          <w:u w:val="single"/>
        </w:rPr>
      </w:pPr>
    </w:p>
    <w:p w14:paraId="6D863281" w14:textId="77777777" w:rsidR="00D20995" w:rsidRPr="00D221EB"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504C654A" w14:textId="7CB2AA8D" w:rsidR="00616B01" w:rsidRPr="003C5E32" w:rsidRDefault="004624DA" w:rsidP="00616B01">
      <w:pPr>
        <w:pStyle w:val="Normal0"/>
        <w:rPr>
          <w:b/>
          <w:sz w:val="22"/>
          <w:szCs w:val="22"/>
        </w:rPr>
      </w:pPr>
      <w:r>
        <w:rPr>
          <w:b/>
          <w:sz w:val="22"/>
          <w:szCs w:val="22"/>
        </w:rPr>
        <w:t>RESOLUCION</w:t>
      </w:r>
      <w:r w:rsidR="00440304" w:rsidRPr="003C5E32">
        <w:rPr>
          <w:b/>
          <w:sz w:val="22"/>
          <w:szCs w:val="22"/>
        </w:rPr>
        <w:t xml:space="preserve"> 221/2023, de 15 de noviembre</w:t>
      </w:r>
    </w:p>
    <w:p w14:paraId="5FEF2209" w14:textId="77777777" w:rsidR="00440304" w:rsidRPr="00E56980" w:rsidRDefault="00440304" w:rsidP="00616B01">
      <w:pPr>
        <w:pStyle w:val="Normal0"/>
        <w:rPr>
          <w:b/>
          <w:sz w:val="24"/>
          <w:szCs w:val="24"/>
        </w:rPr>
      </w:pPr>
    </w:p>
    <w:p w14:paraId="1DD6AD6A" w14:textId="77777777" w:rsidR="00616B01" w:rsidRPr="003C5E32" w:rsidRDefault="007B0A4E" w:rsidP="00616B01">
      <w:pPr>
        <w:pStyle w:val="Normal0"/>
        <w:rPr>
          <w:sz w:val="22"/>
          <w:szCs w:val="22"/>
        </w:rPr>
      </w:pPr>
      <w:r w:rsidRPr="003C5E32">
        <w:rPr>
          <w:sz w:val="22"/>
          <w:szCs w:val="22"/>
        </w:rPr>
        <w:t>Departamento de Sostenibilidad, Agricultura y Medio Natural.</w:t>
      </w:r>
    </w:p>
    <w:p w14:paraId="4FC773B4" w14:textId="77777777" w:rsidR="00616B01" w:rsidRPr="003C5E32" w:rsidRDefault="004624DA" w:rsidP="00616B01">
      <w:pPr>
        <w:pStyle w:val="Normal0"/>
        <w:rPr>
          <w:sz w:val="22"/>
          <w:szCs w:val="22"/>
        </w:rPr>
      </w:pPr>
    </w:p>
    <w:p w14:paraId="31AEA313" w14:textId="503045D2" w:rsidR="00616B01" w:rsidRPr="003C5E32" w:rsidRDefault="007B0A4E" w:rsidP="00616B01">
      <w:pPr>
        <w:pStyle w:val="Normal0"/>
        <w:rPr>
          <w:sz w:val="22"/>
          <w:szCs w:val="22"/>
        </w:rPr>
      </w:pPr>
      <w:proofErr w:type="spellStart"/>
      <w:r w:rsidRPr="003C5E32">
        <w:rPr>
          <w:sz w:val="22"/>
          <w:szCs w:val="22"/>
        </w:rPr>
        <w:t>Nº</w:t>
      </w:r>
      <w:proofErr w:type="spellEnd"/>
      <w:r w:rsidRPr="003C5E32">
        <w:rPr>
          <w:sz w:val="22"/>
          <w:szCs w:val="22"/>
        </w:rPr>
        <w:t xml:space="preserve"> </w:t>
      </w:r>
      <w:proofErr w:type="spellStart"/>
      <w:r w:rsidRPr="003C5E32">
        <w:rPr>
          <w:sz w:val="22"/>
          <w:szCs w:val="22"/>
        </w:rPr>
        <w:t>expte</w:t>
      </w:r>
      <w:proofErr w:type="spellEnd"/>
      <w:r w:rsidRPr="003C5E32">
        <w:rPr>
          <w:sz w:val="22"/>
          <w:szCs w:val="22"/>
        </w:rPr>
        <w:t>: INFOPU 2023/27</w:t>
      </w:r>
    </w:p>
    <w:p w14:paraId="66F37A94" w14:textId="77777777" w:rsidR="003C5E32" w:rsidRPr="00E56980" w:rsidRDefault="003C5E32" w:rsidP="00616B01">
      <w:pPr>
        <w:pStyle w:val="Normal0"/>
        <w:rPr>
          <w:sz w:val="24"/>
          <w:szCs w:val="24"/>
        </w:rPr>
      </w:pPr>
    </w:p>
    <w:p w14:paraId="13B2CBD9" w14:textId="77777777" w:rsidR="00616B01" w:rsidRPr="00E56980" w:rsidRDefault="004624DA" w:rsidP="00616B01">
      <w:pPr>
        <w:pStyle w:val="Normal0"/>
        <w:rPr>
          <w:sz w:val="24"/>
          <w:szCs w:val="24"/>
        </w:rPr>
      </w:pPr>
    </w:p>
    <w:p w14:paraId="4D43034C" w14:textId="17B69D80" w:rsidR="00616B01" w:rsidRPr="00050AB3" w:rsidRDefault="007B0A4E" w:rsidP="00616B01">
      <w:pPr>
        <w:pStyle w:val="Normal0"/>
        <w:jc w:val="both"/>
        <w:rPr>
          <w:b/>
          <w:bCs/>
          <w:sz w:val="22"/>
          <w:szCs w:val="22"/>
        </w:rPr>
      </w:pPr>
      <w:r w:rsidRPr="00050AB3">
        <w:rPr>
          <w:b/>
          <w:bCs/>
          <w:sz w:val="22"/>
          <w:szCs w:val="22"/>
        </w:rPr>
        <w:t xml:space="preserve">Desestimar la solicitud de acceso a la información pública presentada por </w:t>
      </w:r>
      <w:r>
        <w:rPr>
          <w:b/>
          <w:bCs/>
          <w:sz w:val="22"/>
          <w:szCs w:val="22"/>
        </w:rPr>
        <w:t xml:space="preserve">el señor </w:t>
      </w:r>
      <w:bookmarkStart w:id="1" w:name="_Hlk140835239"/>
      <w:bookmarkStart w:id="2" w:name="_Hlk154656453"/>
      <w:proofErr w:type="spellStart"/>
      <w:r w:rsidR="00440304" w:rsidRPr="00086BCB">
        <w:rPr>
          <w:highlight w:val="black"/>
        </w:rPr>
        <w:t>xxxxx</w:t>
      </w:r>
      <w:r w:rsidR="00440304" w:rsidRPr="00350C5C">
        <w:rPr>
          <w:highlight w:val="black"/>
        </w:rPr>
        <w:t>xxxxxx</w:t>
      </w:r>
      <w:bookmarkEnd w:id="1"/>
      <w:proofErr w:type="spellEnd"/>
      <w:r w:rsidR="00440304">
        <w:rPr>
          <w:b/>
          <w:bCs/>
          <w:sz w:val="22"/>
          <w:szCs w:val="22"/>
        </w:rPr>
        <w:t xml:space="preserve"> </w:t>
      </w:r>
      <w:bookmarkEnd w:id="2"/>
      <w:r>
        <w:rPr>
          <w:b/>
          <w:bCs/>
          <w:sz w:val="22"/>
          <w:szCs w:val="22"/>
        </w:rPr>
        <w:t>requiriendo</w:t>
      </w:r>
      <w:r w:rsidRPr="00050AB3">
        <w:rPr>
          <w:b/>
          <w:bCs/>
          <w:sz w:val="22"/>
          <w:szCs w:val="22"/>
        </w:rPr>
        <w:t xml:space="preserve"> diversa información sobre el estado de tramitación de varios expedientes por actuaciones realizadas en el Parque Natural de Izki.</w:t>
      </w:r>
    </w:p>
    <w:p w14:paraId="1EE24EAE" w14:textId="77777777" w:rsidR="00616B01" w:rsidRPr="00050AB3" w:rsidRDefault="004624DA" w:rsidP="00616B01">
      <w:pPr>
        <w:pStyle w:val="Normal0"/>
        <w:rPr>
          <w:sz w:val="22"/>
          <w:szCs w:val="22"/>
        </w:rPr>
      </w:pPr>
    </w:p>
    <w:p w14:paraId="6AF13B68" w14:textId="3F02FFD3" w:rsidR="00616B01" w:rsidRPr="00050AB3" w:rsidRDefault="007B0A4E" w:rsidP="00616B01">
      <w:pPr>
        <w:pStyle w:val="Normal0"/>
        <w:jc w:val="both"/>
        <w:rPr>
          <w:sz w:val="22"/>
          <w:szCs w:val="22"/>
        </w:rPr>
      </w:pPr>
      <w:r w:rsidRPr="00050AB3">
        <w:rPr>
          <w:sz w:val="22"/>
          <w:szCs w:val="22"/>
        </w:rPr>
        <w:t>Con fecha 5 de octubre de 2023</w:t>
      </w:r>
      <w:r w:rsidRPr="00050AB3">
        <w:rPr>
          <w:b/>
          <w:sz w:val="22"/>
          <w:szCs w:val="22"/>
        </w:rPr>
        <w:t xml:space="preserve"> </w:t>
      </w:r>
      <w:r w:rsidRPr="00050AB3">
        <w:rPr>
          <w:sz w:val="22"/>
          <w:szCs w:val="22"/>
        </w:rPr>
        <w:t>tuvo entrada en el Registro de la Diputación Foral de Álava escrito presentado por</w:t>
      </w:r>
      <w:r w:rsidR="00440304">
        <w:rPr>
          <w:sz w:val="22"/>
          <w:szCs w:val="22"/>
        </w:rPr>
        <w:t xml:space="preserve"> </w:t>
      </w:r>
      <w:proofErr w:type="spellStart"/>
      <w:r w:rsidR="00440304" w:rsidRPr="00086BCB">
        <w:rPr>
          <w:highlight w:val="black"/>
        </w:rPr>
        <w:t>xxxxx</w:t>
      </w:r>
      <w:r w:rsidR="00440304" w:rsidRPr="00350C5C">
        <w:rPr>
          <w:highlight w:val="black"/>
        </w:rPr>
        <w:t>xxxxxx</w:t>
      </w:r>
      <w:proofErr w:type="spellEnd"/>
      <w:r w:rsidRPr="00050AB3">
        <w:rPr>
          <w:sz w:val="22"/>
          <w:szCs w:val="22"/>
        </w:rPr>
        <w:t>, con DNI</w:t>
      </w:r>
      <w:r w:rsidR="00440304">
        <w:rPr>
          <w:sz w:val="22"/>
          <w:szCs w:val="22"/>
        </w:rPr>
        <w:t xml:space="preserve"> </w:t>
      </w:r>
      <w:r w:rsidR="00440304" w:rsidRPr="00440304">
        <w:rPr>
          <w:highlight w:val="black"/>
        </w:rPr>
        <w:t xml:space="preserve"> </w:t>
      </w:r>
      <w:proofErr w:type="spellStart"/>
      <w:r w:rsidR="00440304" w:rsidRPr="00086BCB">
        <w:rPr>
          <w:highlight w:val="black"/>
        </w:rPr>
        <w:t>xxxxx</w:t>
      </w:r>
      <w:r w:rsidR="00440304" w:rsidRPr="00350C5C">
        <w:rPr>
          <w:highlight w:val="black"/>
        </w:rPr>
        <w:t>xxxxxx</w:t>
      </w:r>
      <w:proofErr w:type="spellEnd"/>
      <w:r w:rsidR="00440304">
        <w:rPr>
          <w:sz w:val="22"/>
          <w:szCs w:val="22"/>
        </w:rPr>
        <w:t xml:space="preserve"> </w:t>
      </w:r>
      <w:r w:rsidRPr="00050AB3">
        <w:rPr>
          <w:sz w:val="22"/>
          <w:szCs w:val="22"/>
        </w:rPr>
        <w:t>, en el que, tras mostrar su disconformidad con una respuesta remitida por la Directora de Medio Ambiente sobre los expedientes sancionadores 12/2019, 13/2019, 14/2019 y 15/2019 iniciados en su unidad directiva como consecuencia de actuaciones en el Parque Natural de Izki, solicita que le sea notificada la resolución de los citados expedientes sancionadores así como, en su caso, las causas de su sobreseimiento o prescripción.</w:t>
      </w:r>
    </w:p>
    <w:p w14:paraId="4380E896" w14:textId="77777777" w:rsidR="00616B01" w:rsidRPr="00050AB3" w:rsidRDefault="004624DA" w:rsidP="00616B01">
      <w:pPr>
        <w:pStyle w:val="Normal0"/>
        <w:jc w:val="both"/>
        <w:rPr>
          <w:sz w:val="22"/>
          <w:szCs w:val="22"/>
        </w:rPr>
      </w:pPr>
    </w:p>
    <w:p w14:paraId="43679A3C" w14:textId="43693142" w:rsidR="00616B01" w:rsidRPr="00050AB3" w:rsidRDefault="007B0A4E" w:rsidP="00616B01">
      <w:pPr>
        <w:pStyle w:val="saludo"/>
        <w:spacing w:before="0" w:beforeAutospacing="0" w:after="0" w:afterAutospacing="0"/>
        <w:jc w:val="both"/>
        <w:rPr>
          <w:sz w:val="22"/>
          <w:szCs w:val="22"/>
        </w:rPr>
      </w:pPr>
      <w:r>
        <w:rPr>
          <w:sz w:val="22"/>
          <w:szCs w:val="22"/>
        </w:rPr>
        <w:t>Ese mismo mes de octubre,</w:t>
      </w:r>
      <w:r w:rsidRPr="00050AB3">
        <w:rPr>
          <w:sz w:val="22"/>
          <w:szCs w:val="22"/>
        </w:rPr>
        <w:t xml:space="preserve"> la </w:t>
      </w:r>
      <w:proofErr w:type="gramStart"/>
      <w:r w:rsidRPr="00050AB3">
        <w:rPr>
          <w:sz w:val="22"/>
          <w:szCs w:val="22"/>
        </w:rPr>
        <w:t>Directora</w:t>
      </w:r>
      <w:proofErr w:type="gramEnd"/>
      <w:r w:rsidRPr="00050AB3">
        <w:rPr>
          <w:sz w:val="22"/>
          <w:szCs w:val="22"/>
        </w:rPr>
        <w:t xml:space="preserve"> de Medio Ambiente proporcionó al señor </w:t>
      </w:r>
      <w:proofErr w:type="spellStart"/>
      <w:r w:rsidR="00440304" w:rsidRPr="00086BCB">
        <w:rPr>
          <w:highlight w:val="black"/>
        </w:rPr>
        <w:t>xxxxx</w:t>
      </w:r>
      <w:r w:rsidR="00440304" w:rsidRPr="00350C5C">
        <w:rPr>
          <w:highlight w:val="black"/>
        </w:rPr>
        <w:t>xxxxxx</w:t>
      </w:r>
      <w:proofErr w:type="spellEnd"/>
      <w:r w:rsidRPr="00050AB3">
        <w:rPr>
          <w:sz w:val="22"/>
          <w:szCs w:val="22"/>
        </w:rPr>
        <w:t xml:space="preserve"> la información a la que, de acuerdo con lo dispuesto en el artículo 35.16 de la Ley 1/2023, de 16 de marzo, de la potestad sancionadora de las Administraciones Públicas Vascas, podía acceder en calidad de denunciante</w:t>
      </w:r>
      <w:r>
        <w:rPr>
          <w:sz w:val="22"/>
          <w:szCs w:val="22"/>
        </w:rPr>
        <w:t xml:space="preserve"> de las actuaciones referidas en los citados expedientes sancionadores.</w:t>
      </w:r>
    </w:p>
    <w:p w14:paraId="7894BE2B" w14:textId="77777777" w:rsidR="00616B01" w:rsidRPr="00050AB3" w:rsidRDefault="004624DA" w:rsidP="00616B01">
      <w:pPr>
        <w:pStyle w:val="saludo"/>
        <w:spacing w:before="0" w:beforeAutospacing="0" w:after="0" w:afterAutospacing="0"/>
        <w:jc w:val="both"/>
        <w:rPr>
          <w:sz w:val="22"/>
          <w:szCs w:val="22"/>
        </w:rPr>
      </w:pPr>
    </w:p>
    <w:p w14:paraId="7D5077AC" w14:textId="586C525E" w:rsidR="00616B01" w:rsidRPr="00050AB3" w:rsidRDefault="007B0A4E" w:rsidP="00616B01">
      <w:pPr>
        <w:pStyle w:val="saludo"/>
        <w:spacing w:before="0" w:beforeAutospacing="0" w:after="0" w:afterAutospacing="0"/>
        <w:jc w:val="both"/>
        <w:rPr>
          <w:sz w:val="22"/>
          <w:szCs w:val="22"/>
          <w:lang w:val="es-ES_tradnl"/>
        </w:rPr>
      </w:pPr>
      <w:r w:rsidRPr="00050AB3">
        <w:rPr>
          <w:sz w:val="22"/>
          <w:szCs w:val="22"/>
          <w:lang w:val="es-ES_tradnl"/>
        </w:rPr>
        <w:t xml:space="preserve">También, vistos los términos en los que estaban formuladas las pretensiones del solicitante, la citada Directora consideró que las mismas tal vez podrían  tener encaje en el cauce de acceso a la información pública ofrecido en la  Norma Foral 1/2017, de 8 de febrero, de Transparencia, Participación Ciudadana y Buen Gobierno, por lo que </w:t>
      </w:r>
      <w:r>
        <w:rPr>
          <w:sz w:val="22"/>
          <w:szCs w:val="22"/>
          <w:lang w:val="es-ES_tradnl"/>
        </w:rPr>
        <w:t xml:space="preserve">me </w:t>
      </w:r>
      <w:r w:rsidRPr="00050AB3">
        <w:rPr>
          <w:sz w:val="22"/>
          <w:szCs w:val="22"/>
          <w:lang w:val="es-ES_tradnl"/>
        </w:rPr>
        <w:t xml:space="preserve">dio traslado del escrito del sr. </w:t>
      </w:r>
      <w:proofErr w:type="spellStart"/>
      <w:r w:rsidR="00440304" w:rsidRPr="00086BCB">
        <w:rPr>
          <w:highlight w:val="black"/>
        </w:rPr>
        <w:t>xxxxx</w:t>
      </w:r>
      <w:r w:rsidR="00440304" w:rsidRPr="00350C5C">
        <w:rPr>
          <w:highlight w:val="black"/>
        </w:rPr>
        <w:t>xxxxxx</w:t>
      </w:r>
      <w:proofErr w:type="spellEnd"/>
      <w:r w:rsidRPr="00050AB3">
        <w:rPr>
          <w:sz w:val="22"/>
          <w:szCs w:val="22"/>
          <w:lang w:val="es-ES_tradnl"/>
        </w:rPr>
        <w:t xml:space="preserve"> </w:t>
      </w:r>
      <w:r>
        <w:rPr>
          <w:sz w:val="22"/>
          <w:szCs w:val="22"/>
          <w:lang w:val="es-ES_tradnl"/>
        </w:rPr>
        <w:t>por ser l</w:t>
      </w:r>
      <w:r w:rsidRPr="00050AB3">
        <w:rPr>
          <w:sz w:val="22"/>
          <w:szCs w:val="22"/>
          <w:lang w:val="es-ES_tradnl"/>
        </w:rPr>
        <w:t>a persona titular del del Departamento de Sostenibilidad, Agricultura y Medio Ambiente</w:t>
      </w:r>
      <w:r>
        <w:rPr>
          <w:sz w:val="22"/>
          <w:szCs w:val="22"/>
          <w:lang w:val="es-ES_tradnl"/>
        </w:rPr>
        <w:t xml:space="preserve"> la </w:t>
      </w:r>
      <w:r w:rsidRPr="00050AB3">
        <w:rPr>
          <w:sz w:val="22"/>
          <w:szCs w:val="22"/>
          <w:lang w:val="es-ES_tradnl"/>
        </w:rPr>
        <w:t xml:space="preserve">competente para resolver las solicitudes de acceso a la información pública planteadas en dicho Departamento. </w:t>
      </w:r>
    </w:p>
    <w:p w14:paraId="130BEBA9" w14:textId="77777777" w:rsidR="00616B01" w:rsidRPr="00050AB3" w:rsidRDefault="004624DA" w:rsidP="00616B01">
      <w:pPr>
        <w:pStyle w:val="Normal0"/>
        <w:jc w:val="both"/>
        <w:rPr>
          <w:sz w:val="22"/>
          <w:szCs w:val="22"/>
        </w:rPr>
      </w:pPr>
    </w:p>
    <w:p w14:paraId="4B5C74B5" w14:textId="329ED12A" w:rsidR="00616B01" w:rsidRPr="00050AB3" w:rsidRDefault="007B0A4E" w:rsidP="00616B01">
      <w:pPr>
        <w:pStyle w:val="Normal0"/>
        <w:spacing w:after="360"/>
        <w:jc w:val="both"/>
        <w:rPr>
          <w:sz w:val="22"/>
          <w:szCs w:val="22"/>
        </w:rPr>
      </w:pPr>
      <w:r w:rsidRPr="00050AB3">
        <w:rPr>
          <w:sz w:val="22"/>
          <w:szCs w:val="22"/>
        </w:rPr>
        <w:t xml:space="preserve">Pues bien, tal y como se recoge en la exposición de motivos de la Norma Foral 1/2017, de 8 de febrero, de Transparencia, Participación Ciudadana y Buen Gobierno, su objeto es ampliar y reforzar la transparencia de la actividad pública, regular y garantizar el derecho de acceso a la información relativa a aquella actividad al efecto de mejorar la rendición de cuentas de los poderes.  Teniendo en cuenta esta finalidad, vistos los términos en los que está formulado el escrito del sr. </w:t>
      </w:r>
      <w:proofErr w:type="spellStart"/>
      <w:r w:rsidR="00440304" w:rsidRPr="00086BCB">
        <w:rPr>
          <w:highlight w:val="black"/>
        </w:rPr>
        <w:t>xxxxx</w:t>
      </w:r>
      <w:r w:rsidR="00440304" w:rsidRPr="00350C5C">
        <w:rPr>
          <w:highlight w:val="black"/>
        </w:rPr>
        <w:t>xxxxxx</w:t>
      </w:r>
      <w:proofErr w:type="spellEnd"/>
      <w:r w:rsidRPr="00050AB3">
        <w:rPr>
          <w:sz w:val="22"/>
          <w:szCs w:val="22"/>
        </w:rPr>
        <w:t>, sus pretensiones pueden considerarse encuadradas en su interés para el control de la actuación pública y la rendición de cuentas, teniendo, por lo tanto, cabida dentro del concepto de información pública definido en la Norma Foral de Transparencia.</w:t>
      </w:r>
    </w:p>
    <w:p w14:paraId="34F61414" w14:textId="0E3D9085" w:rsidR="00616B01" w:rsidRPr="00050AB3" w:rsidRDefault="007B0A4E" w:rsidP="00616B01">
      <w:pPr>
        <w:pStyle w:val="Normal0"/>
        <w:spacing w:after="360"/>
        <w:jc w:val="both"/>
        <w:rPr>
          <w:sz w:val="22"/>
          <w:szCs w:val="22"/>
        </w:rPr>
      </w:pPr>
      <w:r w:rsidRPr="00050AB3">
        <w:rPr>
          <w:sz w:val="22"/>
          <w:szCs w:val="22"/>
        </w:rPr>
        <w:t xml:space="preserve">Así las cosas, ahora no se va a valorar la reclamación del sr. </w:t>
      </w:r>
      <w:proofErr w:type="spellStart"/>
      <w:r w:rsidR="00440304" w:rsidRPr="00086BCB">
        <w:rPr>
          <w:highlight w:val="black"/>
        </w:rPr>
        <w:t>xxxxx</w:t>
      </w:r>
      <w:r w:rsidR="00440304" w:rsidRPr="00350C5C">
        <w:rPr>
          <w:highlight w:val="black"/>
        </w:rPr>
        <w:t>xxxxxx</w:t>
      </w:r>
      <w:proofErr w:type="spellEnd"/>
      <w:r w:rsidR="00440304" w:rsidRPr="00050AB3">
        <w:rPr>
          <w:sz w:val="22"/>
          <w:szCs w:val="22"/>
        </w:rPr>
        <w:t xml:space="preserve"> </w:t>
      </w:r>
      <w:r w:rsidRPr="00050AB3">
        <w:rPr>
          <w:sz w:val="22"/>
          <w:szCs w:val="22"/>
        </w:rPr>
        <w:t>en calidad de denunciante</w:t>
      </w:r>
      <w:r>
        <w:rPr>
          <w:sz w:val="22"/>
          <w:szCs w:val="22"/>
        </w:rPr>
        <w:t>,</w:t>
      </w:r>
      <w:r w:rsidRPr="00050AB3">
        <w:rPr>
          <w:sz w:val="22"/>
          <w:szCs w:val="22"/>
        </w:rPr>
        <w:t xml:space="preserve"> sino que se va a examinar el caso desde la perspectiva de la pertinencia del derecho de acceso a la información pública</w:t>
      </w:r>
      <w:r>
        <w:rPr>
          <w:sz w:val="22"/>
          <w:szCs w:val="22"/>
        </w:rPr>
        <w:t xml:space="preserve"> de la ciudadanía</w:t>
      </w:r>
      <w:r w:rsidRPr="00050AB3">
        <w:rPr>
          <w:sz w:val="22"/>
          <w:szCs w:val="22"/>
        </w:rPr>
        <w:t>, tal y como viene regulado en la normativa en materia de transparencia.</w:t>
      </w:r>
    </w:p>
    <w:p w14:paraId="5F6D1250" w14:textId="77777777" w:rsidR="00616B01" w:rsidRPr="00050AB3" w:rsidRDefault="007B0A4E" w:rsidP="00616B01">
      <w:pPr>
        <w:pStyle w:val="Normal0"/>
        <w:spacing w:after="360"/>
        <w:jc w:val="both"/>
        <w:rPr>
          <w:sz w:val="22"/>
          <w:szCs w:val="22"/>
        </w:rPr>
      </w:pPr>
      <w:r w:rsidRPr="00050AB3">
        <w:rPr>
          <w:sz w:val="22"/>
          <w:szCs w:val="22"/>
        </w:rPr>
        <w:t>Más concretamente, dicha Norma 1/2017 regula el derecho de todas las personas a acceder a la información pública, entendida, según el artículo 18 de dicha Norma como “</w:t>
      </w:r>
      <w:r w:rsidRPr="00050AB3">
        <w:rPr>
          <w:i/>
          <w:iCs/>
          <w:sz w:val="22"/>
          <w:szCs w:val="22"/>
        </w:rPr>
        <w:t>los contenidos o documentos, cualquiera que sea su formato o soporte, que obren en poder de cualquiera de los sujetos incluidos en el artículo 3 de esta Norma Foral que hayan sido elaborados o adquiridos en el ejercicio de sus funciones</w:t>
      </w:r>
      <w:r w:rsidRPr="00050AB3">
        <w:rPr>
          <w:sz w:val="22"/>
          <w:szCs w:val="22"/>
        </w:rPr>
        <w:t xml:space="preserve">”.  </w:t>
      </w:r>
    </w:p>
    <w:p w14:paraId="7664791A" w14:textId="77777777" w:rsidR="00616B01" w:rsidRPr="00050AB3" w:rsidRDefault="007B0A4E" w:rsidP="00616B01">
      <w:pPr>
        <w:pStyle w:val="Normal0"/>
        <w:spacing w:after="360"/>
        <w:jc w:val="both"/>
        <w:rPr>
          <w:sz w:val="22"/>
          <w:szCs w:val="22"/>
        </w:rPr>
      </w:pPr>
      <w:r w:rsidRPr="00050AB3">
        <w:rPr>
          <w:sz w:val="22"/>
          <w:szCs w:val="22"/>
        </w:rPr>
        <w:lastRenderedPageBreak/>
        <w:t xml:space="preserve">De acuerdo con esta definición, en principio, los documentos </w:t>
      </w:r>
      <w:r>
        <w:rPr>
          <w:sz w:val="22"/>
          <w:szCs w:val="22"/>
        </w:rPr>
        <w:t>y datos</w:t>
      </w:r>
      <w:r w:rsidRPr="00050AB3">
        <w:rPr>
          <w:sz w:val="22"/>
          <w:szCs w:val="22"/>
        </w:rPr>
        <w:t xml:space="preserve"> de un procedimiento sancionador son información pública a cuyo acceso tienen derecho los ciudadanos en los términos previstos en la Norma Foral 1/2017, incluyendo todos los datos obrantes en los mismos.</w:t>
      </w:r>
    </w:p>
    <w:p w14:paraId="0786C5D2" w14:textId="77777777" w:rsidR="00616B01" w:rsidRPr="00050AB3" w:rsidRDefault="007B0A4E" w:rsidP="00616B01">
      <w:pPr>
        <w:pStyle w:val="Normal0"/>
        <w:spacing w:after="360"/>
        <w:jc w:val="both"/>
        <w:rPr>
          <w:sz w:val="22"/>
          <w:szCs w:val="22"/>
        </w:rPr>
      </w:pPr>
      <w:r w:rsidRPr="00050AB3">
        <w:rPr>
          <w:sz w:val="22"/>
          <w:szCs w:val="22"/>
        </w:rPr>
        <w:t>Ahora bien, el artículo 37 de la Norma Foral 1/2017, que</w:t>
      </w:r>
      <w:r>
        <w:rPr>
          <w:sz w:val="22"/>
          <w:szCs w:val="22"/>
        </w:rPr>
        <w:t>,</w:t>
      </w:r>
      <w:r w:rsidRPr="00050AB3">
        <w:rPr>
          <w:sz w:val="22"/>
          <w:szCs w:val="22"/>
        </w:rPr>
        <w:t xml:space="preserve"> a su vez</w:t>
      </w:r>
      <w:r>
        <w:rPr>
          <w:sz w:val="22"/>
          <w:szCs w:val="22"/>
        </w:rPr>
        <w:t>,</w:t>
      </w:r>
      <w:r w:rsidRPr="00050AB3">
        <w:rPr>
          <w:sz w:val="22"/>
          <w:szCs w:val="22"/>
        </w:rPr>
        <w:t xml:space="preserve"> se remite a la legislación básica estatal, establece las limitaciones del derecho de acceso a la información pública.</w:t>
      </w:r>
    </w:p>
    <w:p w14:paraId="585FC801" w14:textId="77777777" w:rsidR="00616B01" w:rsidRPr="00050AB3" w:rsidRDefault="007B0A4E" w:rsidP="00616B01">
      <w:pPr>
        <w:pStyle w:val="Normal0"/>
        <w:spacing w:after="360"/>
        <w:jc w:val="both"/>
        <w:rPr>
          <w:sz w:val="22"/>
          <w:szCs w:val="22"/>
        </w:rPr>
      </w:pPr>
      <w:r w:rsidRPr="00050AB3">
        <w:rPr>
          <w:sz w:val="22"/>
          <w:szCs w:val="22"/>
        </w:rPr>
        <w:t>Por su parte, el Consejo de Transparencia y Buen Gobierno y la Agencia Española de Protección de Datos, adoptaron con fecha 24 de junio de 2015 un criterio interpretativo de aplicación de las citadas limitaciones, afirmando en lo que a los efectos de esta resolución interesan:</w:t>
      </w:r>
    </w:p>
    <w:p w14:paraId="6D88A979" w14:textId="77777777" w:rsidR="00616B01" w:rsidRPr="00050AB3" w:rsidRDefault="007B0A4E" w:rsidP="00616B01">
      <w:pPr>
        <w:pStyle w:val="Normal0"/>
        <w:jc w:val="both"/>
        <w:rPr>
          <w:i/>
          <w:iCs/>
          <w:sz w:val="22"/>
          <w:szCs w:val="22"/>
        </w:rPr>
      </w:pPr>
      <w:r w:rsidRPr="00050AB3">
        <w:rPr>
          <w:sz w:val="22"/>
          <w:szCs w:val="22"/>
        </w:rPr>
        <w:t>"</w:t>
      </w:r>
      <w:r w:rsidRPr="00050AB3">
        <w:rPr>
          <w:i/>
          <w:iCs/>
          <w:sz w:val="22"/>
          <w:szCs w:val="22"/>
        </w:rPr>
        <w:t xml:space="preserve">El proceso de aplicación de estas normas (artículos 14 y 15 de la LTAIBG) comprende las siguientes etapas o fases sucesivas: </w:t>
      </w:r>
    </w:p>
    <w:p w14:paraId="2EDA825E" w14:textId="77777777" w:rsidR="00616B01" w:rsidRPr="00050AB3" w:rsidRDefault="004624DA" w:rsidP="00616B01">
      <w:pPr>
        <w:pStyle w:val="Normal0"/>
        <w:jc w:val="both"/>
        <w:rPr>
          <w:i/>
          <w:iCs/>
          <w:sz w:val="22"/>
          <w:szCs w:val="22"/>
        </w:rPr>
      </w:pPr>
    </w:p>
    <w:p w14:paraId="0FC809EC" w14:textId="77777777" w:rsidR="00616B01" w:rsidRPr="00050AB3" w:rsidRDefault="007B0A4E" w:rsidP="00616B01">
      <w:pPr>
        <w:pStyle w:val="Normal0"/>
        <w:jc w:val="both"/>
        <w:rPr>
          <w:i/>
          <w:iCs/>
          <w:sz w:val="22"/>
          <w:szCs w:val="22"/>
        </w:rPr>
      </w:pPr>
      <w:r w:rsidRPr="00050AB3">
        <w:rPr>
          <w:i/>
          <w:iCs/>
          <w:sz w:val="22"/>
          <w:szCs w:val="22"/>
        </w:rPr>
        <w:t xml:space="preserve">I. Valorar si la información solicitada o sometida a publicidad activa contiene o no datos de carácter personal, entendiéndose por estos los definidos en el artículo 3 de la Ley Orgánica 15/1999, de 13 de diciembre, de Protección de Datos de Carácter Personal (en adelante LOPD). </w:t>
      </w:r>
    </w:p>
    <w:p w14:paraId="083157F0" w14:textId="77777777" w:rsidR="00616B01" w:rsidRPr="00050AB3" w:rsidRDefault="004624DA" w:rsidP="00616B01">
      <w:pPr>
        <w:pStyle w:val="Normal0"/>
        <w:jc w:val="both"/>
        <w:rPr>
          <w:i/>
          <w:iCs/>
          <w:sz w:val="22"/>
          <w:szCs w:val="22"/>
        </w:rPr>
      </w:pPr>
    </w:p>
    <w:p w14:paraId="68074450" w14:textId="77777777" w:rsidR="00616B01" w:rsidRPr="00050AB3" w:rsidRDefault="007B0A4E" w:rsidP="00616B01">
      <w:pPr>
        <w:pStyle w:val="Normal0"/>
        <w:jc w:val="both"/>
        <w:rPr>
          <w:b/>
          <w:bCs/>
          <w:i/>
          <w:iCs/>
          <w:sz w:val="22"/>
          <w:szCs w:val="22"/>
        </w:rPr>
      </w:pPr>
      <w:r w:rsidRPr="00050AB3">
        <w:rPr>
          <w:i/>
          <w:iCs/>
          <w:sz w:val="22"/>
          <w:szCs w:val="22"/>
        </w:rPr>
        <w:t xml:space="preserve">II. En caso afirmativo, valorar si los datos son o no datos especialmente protegidos en los términos del artículo 7 de la LOPD, esto es: a) Datos reveladores de la ideología, afiliación sindical, religión y creencias; b) Datos de carácter personal que hagan referencia al origen racial, a la salud y a la vida sexual, y c) </w:t>
      </w:r>
      <w:r w:rsidRPr="00050AB3">
        <w:rPr>
          <w:b/>
          <w:bCs/>
          <w:i/>
          <w:iCs/>
          <w:sz w:val="22"/>
          <w:szCs w:val="22"/>
        </w:rPr>
        <w:t>Datos de carácter personal relativos a la comisión de infracciones penales o administrativas. Si contuviera datos de carácter personal especialmente protegidos, la información solo se podrá publicar o facilitar: (...) c) En el supuesto de los datos de la letra c) anterior, y siempre que las correspondientes infracciones penales o administrativas no conlleven la amonestación pública al infractor, cuando se cuente con el consentimiento expreso del afectado o estuviera amparado por una norma con rango de Ley.</w:t>
      </w:r>
    </w:p>
    <w:p w14:paraId="79D49EC1" w14:textId="77777777" w:rsidR="00616B01" w:rsidRPr="00050AB3" w:rsidRDefault="004624DA" w:rsidP="00616B01">
      <w:pPr>
        <w:pStyle w:val="Normal0"/>
        <w:jc w:val="both"/>
        <w:rPr>
          <w:b/>
          <w:bCs/>
          <w:i/>
          <w:iCs/>
          <w:sz w:val="22"/>
          <w:szCs w:val="22"/>
        </w:rPr>
      </w:pPr>
    </w:p>
    <w:p w14:paraId="6CDB4F51" w14:textId="77777777" w:rsidR="00616B01" w:rsidRPr="00050AB3" w:rsidRDefault="007B0A4E" w:rsidP="00616B01">
      <w:pPr>
        <w:pStyle w:val="Normal0"/>
        <w:jc w:val="both"/>
        <w:rPr>
          <w:i/>
          <w:iCs/>
          <w:sz w:val="22"/>
          <w:szCs w:val="22"/>
        </w:rPr>
      </w:pPr>
      <w:r w:rsidRPr="00050AB3">
        <w:rPr>
          <w:i/>
          <w:iCs/>
          <w:sz w:val="22"/>
          <w:szCs w:val="22"/>
        </w:rPr>
        <w:t xml:space="preserve">(...) </w:t>
      </w:r>
    </w:p>
    <w:p w14:paraId="347EC459" w14:textId="77777777" w:rsidR="00616B01" w:rsidRPr="00050AB3" w:rsidRDefault="004624DA" w:rsidP="00616B01">
      <w:pPr>
        <w:pStyle w:val="Normal0"/>
        <w:jc w:val="both"/>
        <w:rPr>
          <w:i/>
          <w:iCs/>
          <w:sz w:val="22"/>
          <w:szCs w:val="22"/>
        </w:rPr>
      </w:pPr>
    </w:p>
    <w:p w14:paraId="7E3F4FC9" w14:textId="77777777" w:rsidR="00616B01" w:rsidRPr="00050AB3" w:rsidRDefault="007B0A4E" w:rsidP="00616B01">
      <w:pPr>
        <w:pStyle w:val="Normal0"/>
        <w:jc w:val="both"/>
        <w:rPr>
          <w:i/>
          <w:iCs/>
          <w:sz w:val="22"/>
          <w:szCs w:val="22"/>
        </w:rPr>
      </w:pPr>
      <w:r w:rsidRPr="00050AB3">
        <w:rPr>
          <w:i/>
          <w:iCs/>
          <w:sz w:val="22"/>
          <w:szCs w:val="22"/>
        </w:rPr>
        <w:t xml:space="preserve">Finalmente, una vez realizados los pasos anteriores, valorar si resultan de aplicación los límites previstos en el artículo 14. </w:t>
      </w:r>
    </w:p>
    <w:p w14:paraId="5DE4E0D5" w14:textId="77777777" w:rsidR="00616B01" w:rsidRPr="00050AB3" w:rsidRDefault="004624DA" w:rsidP="00616B01">
      <w:pPr>
        <w:pStyle w:val="Normal0"/>
        <w:jc w:val="both"/>
        <w:rPr>
          <w:i/>
          <w:iCs/>
          <w:sz w:val="22"/>
          <w:szCs w:val="22"/>
        </w:rPr>
      </w:pPr>
    </w:p>
    <w:p w14:paraId="30922D50" w14:textId="77777777" w:rsidR="00616B01" w:rsidRPr="00050AB3" w:rsidRDefault="007B0A4E" w:rsidP="00616B01">
      <w:pPr>
        <w:pStyle w:val="Normal0"/>
        <w:jc w:val="both"/>
        <w:rPr>
          <w:i/>
          <w:iCs/>
          <w:sz w:val="22"/>
          <w:szCs w:val="22"/>
        </w:rPr>
      </w:pPr>
      <w:r w:rsidRPr="00050AB3">
        <w:rPr>
          <w:i/>
          <w:iCs/>
          <w:sz w:val="22"/>
          <w:szCs w:val="22"/>
        </w:rPr>
        <w:t>(...)".</w:t>
      </w:r>
    </w:p>
    <w:p w14:paraId="72E1190C" w14:textId="77777777" w:rsidR="00616B01" w:rsidRPr="00050AB3" w:rsidRDefault="004624DA" w:rsidP="00616B01">
      <w:pPr>
        <w:pStyle w:val="Normal0"/>
        <w:jc w:val="both"/>
        <w:rPr>
          <w:i/>
          <w:iCs/>
          <w:sz w:val="22"/>
          <w:szCs w:val="22"/>
        </w:rPr>
      </w:pPr>
    </w:p>
    <w:p w14:paraId="408ACA09" w14:textId="77777777" w:rsidR="00616B01" w:rsidRPr="00050AB3" w:rsidRDefault="007B0A4E" w:rsidP="00616B01">
      <w:pPr>
        <w:pStyle w:val="Normal0"/>
        <w:jc w:val="both"/>
        <w:rPr>
          <w:sz w:val="22"/>
          <w:szCs w:val="22"/>
        </w:rPr>
      </w:pPr>
      <w:r w:rsidRPr="00050AB3">
        <w:rPr>
          <w:i/>
          <w:iCs/>
          <w:sz w:val="22"/>
          <w:szCs w:val="22"/>
        </w:rPr>
        <w:t xml:space="preserve"> </w:t>
      </w:r>
      <w:r w:rsidRPr="00050AB3">
        <w:rPr>
          <w:sz w:val="22"/>
          <w:szCs w:val="22"/>
        </w:rPr>
        <w:t>En atención a los argumentos parcialmente transcritos, el CTBG y la AEPD concluyeron lo siguiente:</w:t>
      </w:r>
    </w:p>
    <w:p w14:paraId="27758BAB" w14:textId="77777777" w:rsidR="00616B01" w:rsidRPr="00050AB3" w:rsidRDefault="004624DA" w:rsidP="00616B01">
      <w:pPr>
        <w:pStyle w:val="Normal0"/>
        <w:jc w:val="both"/>
        <w:rPr>
          <w:sz w:val="22"/>
          <w:szCs w:val="22"/>
        </w:rPr>
      </w:pPr>
    </w:p>
    <w:p w14:paraId="637BF523" w14:textId="77777777" w:rsidR="00616B01" w:rsidRPr="00050AB3" w:rsidRDefault="007B0A4E" w:rsidP="00616B01">
      <w:pPr>
        <w:pStyle w:val="Normal0"/>
        <w:jc w:val="both"/>
        <w:rPr>
          <w:b/>
          <w:bCs/>
          <w:i/>
          <w:iCs/>
          <w:sz w:val="22"/>
          <w:szCs w:val="22"/>
        </w:rPr>
      </w:pPr>
      <w:r w:rsidRPr="00050AB3">
        <w:rPr>
          <w:i/>
          <w:iCs/>
          <w:sz w:val="22"/>
          <w:szCs w:val="22"/>
        </w:rPr>
        <w:t xml:space="preserve">"a) </w:t>
      </w:r>
      <w:r w:rsidRPr="00050AB3">
        <w:rPr>
          <w:b/>
          <w:bCs/>
          <w:i/>
          <w:iCs/>
          <w:sz w:val="22"/>
          <w:szCs w:val="22"/>
        </w:rPr>
        <w:t xml:space="preserve">Los artículos 14 y 15 de la LTAIBG regulan los límites del derecho de acceso a la información que no operan de forma automática, sino que habrán de ser aplicados de acuerdo con las reglas de aplicación y los elementos de ponderación que establecen la citada Ley y la LOPD. </w:t>
      </w:r>
    </w:p>
    <w:p w14:paraId="25782DA3" w14:textId="77777777" w:rsidR="00616B01" w:rsidRPr="00050AB3" w:rsidRDefault="004624DA" w:rsidP="00616B01">
      <w:pPr>
        <w:pStyle w:val="Normal0"/>
        <w:jc w:val="both"/>
        <w:rPr>
          <w:b/>
          <w:bCs/>
          <w:i/>
          <w:iCs/>
          <w:sz w:val="22"/>
          <w:szCs w:val="22"/>
        </w:rPr>
      </w:pPr>
    </w:p>
    <w:p w14:paraId="0E7B8B9A" w14:textId="77777777" w:rsidR="00616B01" w:rsidRPr="00050AB3" w:rsidRDefault="007B0A4E" w:rsidP="00616B01">
      <w:pPr>
        <w:pStyle w:val="Normal0"/>
        <w:jc w:val="both"/>
        <w:rPr>
          <w:i/>
          <w:iCs/>
          <w:sz w:val="22"/>
          <w:szCs w:val="22"/>
        </w:rPr>
      </w:pPr>
      <w:r w:rsidRPr="00050AB3">
        <w:rPr>
          <w:b/>
          <w:bCs/>
          <w:i/>
          <w:iCs/>
          <w:sz w:val="22"/>
          <w:szCs w:val="22"/>
        </w:rPr>
        <w:t xml:space="preserve">b) El orden de ponderación opera desde el artículo 15 al 14 </w:t>
      </w:r>
      <w:r w:rsidRPr="00050AB3">
        <w:rPr>
          <w:i/>
          <w:iCs/>
          <w:sz w:val="22"/>
          <w:szCs w:val="22"/>
        </w:rPr>
        <w:t>con los elementos que modulan la toma de decisione</w:t>
      </w:r>
      <w:r w:rsidRPr="00050AB3">
        <w:rPr>
          <w:b/>
          <w:bCs/>
          <w:i/>
          <w:iCs/>
          <w:sz w:val="22"/>
          <w:szCs w:val="22"/>
        </w:rPr>
        <w:t xml:space="preserve">s. </w:t>
      </w:r>
      <w:r w:rsidRPr="00050AB3">
        <w:rPr>
          <w:i/>
          <w:iCs/>
          <w:sz w:val="22"/>
          <w:szCs w:val="22"/>
        </w:rPr>
        <w:t xml:space="preserve">(...)". </w:t>
      </w:r>
    </w:p>
    <w:p w14:paraId="34A74E11" w14:textId="77777777" w:rsidR="00616B01" w:rsidRPr="00050AB3" w:rsidRDefault="004624DA" w:rsidP="00616B01">
      <w:pPr>
        <w:pStyle w:val="Normal0"/>
        <w:jc w:val="both"/>
        <w:rPr>
          <w:i/>
          <w:iCs/>
          <w:sz w:val="22"/>
          <w:szCs w:val="22"/>
        </w:rPr>
      </w:pPr>
    </w:p>
    <w:p w14:paraId="116AA1B8" w14:textId="77777777" w:rsidR="00616B01" w:rsidRPr="00050AB3" w:rsidRDefault="007B0A4E" w:rsidP="00616B01">
      <w:pPr>
        <w:pStyle w:val="Normal0"/>
        <w:spacing w:after="360"/>
        <w:jc w:val="both"/>
        <w:rPr>
          <w:sz w:val="22"/>
          <w:szCs w:val="22"/>
        </w:rPr>
      </w:pPr>
      <w:r w:rsidRPr="00050AB3">
        <w:rPr>
          <w:sz w:val="22"/>
          <w:szCs w:val="22"/>
        </w:rPr>
        <w:t>En el caso que nos ocupa, se trataría de determinar si concurre el límite de acceso del artículo 14.1 e) LTAIBG, esto es, cuando la divulgación de la información requerida puede suponer un perjuicio para la prevención, investigación o sanción de los ilícitos administrativos y ello, teniendo en cuenta que, en su caso, la aplicación del límite “</w:t>
      </w:r>
      <w:r w:rsidRPr="00050AB3">
        <w:rPr>
          <w:i/>
          <w:iCs/>
          <w:sz w:val="22"/>
          <w:szCs w:val="22"/>
        </w:rPr>
        <w:t>será justificada y proporcionada a su objeto y finalidad de protección y atenderá a las circunstancias del caso concreto, especialmente a la concurrencia de un interés público o privado superior que justifique el acceso</w:t>
      </w:r>
      <w:r w:rsidRPr="00050AB3">
        <w:rPr>
          <w:sz w:val="22"/>
          <w:szCs w:val="22"/>
        </w:rPr>
        <w:t>” (art. 14.2).</w:t>
      </w:r>
    </w:p>
    <w:p w14:paraId="42CAC485" w14:textId="3197F10C" w:rsidR="00616B01" w:rsidRPr="00050AB3" w:rsidRDefault="007B0A4E" w:rsidP="00616B01">
      <w:pPr>
        <w:pStyle w:val="Normal0"/>
        <w:jc w:val="both"/>
        <w:rPr>
          <w:sz w:val="22"/>
          <w:szCs w:val="22"/>
        </w:rPr>
      </w:pPr>
      <w:r>
        <w:rPr>
          <w:sz w:val="22"/>
          <w:szCs w:val="22"/>
        </w:rPr>
        <w:t>Partiendo de</w:t>
      </w:r>
      <w:r w:rsidRPr="00050AB3">
        <w:rPr>
          <w:sz w:val="22"/>
          <w:szCs w:val="22"/>
        </w:rPr>
        <w:t xml:space="preserve"> que los procedimientos sancionadores sobre los que reclama información el sr. </w:t>
      </w:r>
      <w:r w:rsidR="00240065" w:rsidRPr="00C27650">
        <w:rPr>
          <w:sz w:val="22"/>
          <w:szCs w:val="22"/>
        </w:rPr>
        <w:t xml:space="preserve"> </w:t>
      </w:r>
      <w:proofErr w:type="spellStart"/>
      <w:r w:rsidR="00240065" w:rsidRPr="00086BCB">
        <w:rPr>
          <w:highlight w:val="black"/>
        </w:rPr>
        <w:t>xxxxx</w:t>
      </w:r>
      <w:r w:rsidR="00240065" w:rsidRPr="00350C5C">
        <w:rPr>
          <w:highlight w:val="black"/>
        </w:rPr>
        <w:t>xxxxxx</w:t>
      </w:r>
      <w:proofErr w:type="spellEnd"/>
      <w:r w:rsidR="00240065" w:rsidRPr="00C27650">
        <w:rPr>
          <w:sz w:val="22"/>
          <w:szCs w:val="22"/>
        </w:rPr>
        <w:t xml:space="preserve"> </w:t>
      </w:r>
      <w:r w:rsidRPr="00050AB3">
        <w:rPr>
          <w:sz w:val="22"/>
          <w:szCs w:val="22"/>
        </w:rPr>
        <w:t>ya se encuentran finalizados</w:t>
      </w:r>
      <w:r>
        <w:rPr>
          <w:sz w:val="22"/>
          <w:szCs w:val="22"/>
        </w:rPr>
        <w:t>,</w:t>
      </w:r>
      <w:r w:rsidRPr="00050AB3">
        <w:rPr>
          <w:sz w:val="22"/>
          <w:szCs w:val="22"/>
        </w:rPr>
        <w:t xml:space="preserve"> no cabría invocar dicho límite del artículo 14.1 e) ya que, al tratarse de procedimientos cerrados, el acceso a los mismo por parte del reclamante no puede perjudicar de ninguna manera ni su prevención ni su investigación ni su sanción.</w:t>
      </w:r>
    </w:p>
    <w:p w14:paraId="77E1F063" w14:textId="77777777" w:rsidR="00616B01" w:rsidRPr="00050AB3" w:rsidRDefault="004624DA" w:rsidP="00616B01">
      <w:pPr>
        <w:pStyle w:val="Normal0"/>
        <w:jc w:val="both"/>
        <w:rPr>
          <w:sz w:val="22"/>
          <w:szCs w:val="22"/>
        </w:rPr>
      </w:pPr>
    </w:p>
    <w:p w14:paraId="31D01082" w14:textId="77777777" w:rsidR="00616B01" w:rsidRPr="00050AB3" w:rsidRDefault="007B0A4E" w:rsidP="00616B01">
      <w:pPr>
        <w:pStyle w:val="Normal0"/>
        <w:jc w:val="both"/>
        <w:rPr>
          <w:sz w:val="22"/>
          <w:szCs w:val="22"/>
          <w:shd w:val="clear" w:color="auto" w:fill="FFFFFF"/>
        </w:rPr>
      </w:pPr>
      <w:r w:rsidRPr="00050AB3">
        <w:rPr>
          <w:sz w:val="22"/>
          <w:szCs w:val="22"/>
        </w:rPr>
        <w:t xml:space="preserve">Sin embargo, resulta de interés hacer una referencia al Dictamen 1/2017 de la </w:t>
      </w:r>
      <w:r w:rsidRPr="00050AB3">
        <w:rPr>
          <w:sz w:val="22"/>
          <w:szCs w:val="22"/>
          <w:shd w:val="clear" w:color="auto" w:fill="FFFFFF"/>
        </w:rPr>
        <w:t>Comisión de Garantía del Derecho de Acceso a la Información Pública (</w:t>
      </w:r>
      <w:r w:rsidRPr="00050AB3">
        <w:rPr>
          <w:rStyle w:val="nfasis"/>
          <w:sz w:val="22"/>
          <w:szCs w:val="22"/>
          <w:shd w:val="clear" w:color="auto" w:fill="FFFFFF"/>
        </w:rPr>
        <w:t>GAIP</w:t>
      </w:r>
      <w:r w:rsidRPr="00050AB3">
        <w:rPr>
          <w:sz w:val="22"/>
          <w:szCs w:val="22"/>
          <w:shd w:val="clear" w:color="auto" w:fill="FFFFFF"/>
        </w:rPr>
        <w:t>) que, en relación a la aplicación del límite de acceso a la información pública en el supuesto de existencia de datos personales vinculados a la comisión de infracciones administrativas, dispone:</w:t>
      </w:r>
    </w:p>
    <w:p w14:paraId="16161F86" w14:textId="77777777" w:rsidR="00616B01" w:rsidRPr="00050AB3" w:rsidRDefault="004624DA" w:rsidP="00616B01">
      <w:pPr>
        <w:pStyle w:val="Normal0"/>
        <w:jc w:val="both"/>
        <w:rPr>
          <w:sz w:val="22"/>
          <w:szCs w:val="22"/>
          <w:shd w:val="clear" w:color="auto" w:fill="FFFFFF"/>
        </w:rPr>
      </w:pPr>
    </w:p>
    <w:p w14:paraId="69C4186A" w14:textId="77777777" w:rsidR="00616B01" w:rsidRPr="00050AB3" w:rsidRDefault="007B0A4E" w:rsidP="00616B01">
      <w:pPr>
        <w:pStyle w:val="Normal0"/>
        <w:jc w:val="both"/>
        <w:rPr>
          <w:i/>
          <w:iCs/>
          <w:sz w:val="22"/>
          <w:szCs w:val="22"/>
        </w:rPr>
      </w:pPr>
      <w:r w:rsidRPr="00050AB3">
        <w:rPr>
          <w:i/>
          <w:iCs/>
          <w:sz w:val="22"/>
          <w:szCs w:val="22"/>
        </w:rPr>
        <w:t>“- Que los datos personales a proteger siempre deben ser relativos a personas físicas, ya que las personas jurídicas quedan fuera del ámbito de protección de la LOPD. Esto significa que si el presunto infractor es una persona jurídica su identidad no es protegida por este límite y en principio es susceptible de ser conocida en ejercicio del derecho de acceso.</w:t>
      </w:r>
    </w:p>
    <w:p w14:paraId="22E99851" w14:textId="77777777" w:rsidR="00616B01" w:rsidRPr="00050AB3" w:rsidRDefault="004624DA" w:rsidP="00616B01">
      <w:pPr>
        <w:pStyle w:val="Normal0"/>
        <w:jc w:val="both"/>
        <w:rPr>
          <w:i/>
          <w:iCs/>
          <w:sz w:val="22"/>
          <w:szCs w:val="22"/>
        </w:rPr>
      </w:pPr>
    </w:p>
    <w:p w14:paraId="76850DED" w14:textId="77777777" w:rsidR="00616B01" w:rsidRPr="00C27650" w:rsidRDefault="007B0A4E" w:rsidP="00616B01">
      <w:pPr>
        <w:pStyle w:val="Normal0"/>
        <w:jc w:val="both"/>
        <w:rPr>
          <w:sz w:val="22"/>
          <w:szCs w:val="22"/>
        </w:rPr>
      </w:pPr>
      <w:r w:rsidRPr="00050AB3">
        <w:rPr>
          <w:i/>
          <w:iCs/>
          <w:sz w:val="22"/>
          <w:szCs w:val="22"/>
        </w:rPr>
        <w:t xml:space="preserve"> - Que la protección brindada a los datos de las personas físicas que hayan podido cometer infracciones aplica tanto a los expedientes abiertos o en trámite, como los cerrados o finalizados</w:t>
      </w:r>
      <w:r w:rsidRPr="00050AB3">
        <w:rPr>
          <w:sz w:val="22"/>
          <w:szCs w:val="22"/>
        </w:rPr>
        <w:t xml:space="preserve">”. </w:t>
      </w:r>
    </w:p>
    <w:p w14:paraId="69742745" w14:textId="77777777" w:rsidR="00616B01" w:rsidRPr="00C27650" w:rsidRDefault="004624DA" w:rsidP="00616B01">
      <w:pPr>
        <w:pStyle w:val="Normal0"/>
        <w:jc w:val="both"/>
        <w:rPr>
          <w:sz w:val="22"/>
          <w:szCs w:val="22"/>
        </w:rPr>
      </w:pPr>
    </w:p>
    <w:p w14:paraId="28136ABE" w14:textId="703532B4" w:rsidR="00616B01" w:rsidRPr="00C27650" w:rsidRDefault="007B0A4E" w:rsidP="00616B01">
      <w:pPr>
        <w:pStyle w:val="Normal0"/>
        <w:jc w:val="both"/>
        <w:rPr>
          <w:sz w:val="22"/>
          <w:szCs w:val="22"/>
        </w:rPr>
      </w:pPr>
      <w:r w:rsidRPr="00C27650">
        <w:rPr>
          <w:sz w:val="22"/>
          <w:szCs w:val="22"/>
        </w:rPr>
        <w:t xml:space="preserve">A la vista de lo anterior, debe recordarse que la solicitud del sr. </w:t>
      </w:r>
      <w:proofErr w:type="spellStart"/>
      <w:r w:rsidR="00440304" w:rsidRPr="00086BCB">
        <w:rPr>
          <w:highlight w:val="black"/>
        </w:rPr>
        <w:t>xxxxx</w:t>
      </w:r>
      <w:r w:rsidR="00440304" w:rsidRPr="00350C5C">
        <w:rPr>
          <w:highlight w:val="black"/>
        </w:rPr>
        <w:t>xxxxxx</w:t>
      </w:r>
      <w:proofErr w:type="spellEnd"/>
      <w:r w:rsidR="00440304" w:rsidRPr="00C27650">
        <w:rPr>
          <w:sz w:val="22"/>
          <w:szCs w:val="22"/>
        </w:rPr>
        <w:t xml:space="preserve"> </w:t>
      </w:r>
      <w:r w:rsidRPr="00C27650">
        <w:rPr>
          <w:sz w:val="22"/>
          <w:szCs w:val="22"/>
        </w:rPr>
        <w:t>versa sobre actuaciones realizadas en el marco de procedimientos sancionadores referidas a personas físicas, por lo que, finalizados los mismos, de acuerdo con lo dispuesto en el artículo 15 de la Ley 19/2013, de 9 de diciembre, de transparencia, acceso a la información pública y buen gobierno, y con los límites en ella contemplados, no procede remitir la información solicitada.</w:t>
      </w:r>
    </w:p>
    <w:p w14:paraId="0BF2CB5A" w14:textId="77777777" w:rsidR="00616B01" w:rsidRPr="00050AB3" w:rsidRDefault="004624DA" w:rsidP="00616B01">
      <w:pPr>
        <w:pStyle w:val="Normal0"/>
        <w:jc w:val="both"/>
        <w:rPr>
          <w:sz w:val="22"/>
          <w:szCs w:val="22"/>
        </w:rPr>
      </w:pPr>
    </w:p>
    <w:p w14:paraId="7C6FE461" w14:textId="77777777" w:rsidR="00616B01" w:rsidRPr="00050AB3" w:rsidRDefault="007B0A4E" w:rsidP="00616B01">
      <w:pPr>
        <w:pStyle w:val="Normal0"/>
        <w:autoSpaceDE w:val="0"/>
        <w:autoSpaceDN w:val="0"/>
        <w:adjustRightInd w:val="0"/>
        <w:rPr>
          <w:sz w:val="22"/>
          <w:szCs w:val="22"/>
        </w:rPr>
      </w:pPr>
      <w:r w:rsidRPr="00050AB3">
        <w:rPr>
          <w:sz w:val="22"/>
          <w:szCs w:val="22"/>
        </w:rPr>
        <w:t>En su virtud, haciendo uso de las facultades que me competen,</w:t>
      </w:r>
    </w:p>
    <w:p w14:paraId="6B994F47" w14:textId="77777777" w:rsidR="00616B01" w:rsidRPr="00050AB3" w:rsidRDefault="004624DA" w:rsidP="00616B01">
      <w:pPr>
        <w:pStyle w:val="Normal0"/>
        <w:autoSpaceDE w:val="0"/>
        <w:autoSpaceDN w:val="0"/>
        <w:adjustRightInd w:val="0"/>
        <w:rPr>
          <w:sz w:val="22"/>
          <w:szCs w:val="22"/>
        </w:rPr>
      </w:pPr>
    </w:p>
    <w:p w14:paraId="73834250" w14:textId="77777777" w:rsidR="00616B01" w:rsidRDefault="007B0A4E" w:rsidP="00616B01">
      <w:pPr>
        <w:pStyle w:val="Normal0"/>
        <w:spacing w:before="100" w:after="100"/>
        <w:jc w:val="center"/>
        <w:rPr>
          <w:b/>
          <w:sz w:val="22"/>
          <w:szCs w:val="22"/>
        </w:rPr>
      </w:pPr>
      <w:r w:rsidRPr="00050AB3">
        <w:rPr>
          <w:b/>
          <w:sz w:val="22"/>
          <w:szCs w:val="22"/>
        </w:rPr>
        <w:t>DISPONGO</w:t>
      </w:r>
    </w:p>
    <w:p w14:paraId="0D93EA15" w14:textId="77777777" w:rsidR="00616B01" w:rsidRPr="00050AB3" w:rsidRDefault="004624DA" w:rsidP="00616B01">
      <w:pPr>
        <w:pStyle w:val="Normal0"/>
        <w:spacing w:before="100" w:after="100"/>
        <w:jc w:val="center"/>
        <w:rPr>
          <w:b/>
          <w:sz w:val="22"/>
          <w:szCs w:val="22"/>
        </w:rPr>
      </w:pPr>
    </w:p>
    <w:p w14:paraId="7E87D435" w14:textId="1E17493E" w:rsidR="00616B01" w:rsidRPr="00050AB3" w:rsidRDefault="007B0A4E" w:rsidP="00616B01">
      <w:pPr>
        <w:pStyle w:val="Normal0"/>
        <w:jc w:val="both"/>
        <w:rPr>
          <w:b/>
          <w:sz w:val="22"/>
          <w:szCs w:val="22"/>
        </w:rPr>
      </w:pPr>
      <w:r w:rsidRPr="00050AB3">
        <w:rPr>
          <w:b/>
          <w:sz w:val="22"/>
          <w:szCs w:val="22"/>
        </w:rPr>
        <w:t xml:space="preserve">PRIMERO. </w:t>
      </w:r>
      <w:r w:rsidRPr="00050AB3">
        <w:rPr>
          <w:sz w:val="22"/>
          <w:szCs w:val="22"/>
        </w:rPr>
        <w:t xml:space="preserve">Desestimar, por los motivos </w:t>
      </w:r>
      <w:r>
        <w:rPr>
          <w:sz w:val="22"/>
          <w:szCs w:val="22"/>
        </w:rPr>
        <w:t>indicados</w:t>
      </w:r>
      <w:r w:rsidRPr="00050AB3">
        <w:rPr>
          <w:sz w:val="22"/>
          <w:szCs w:val="22"/>
        </w:rPr>
        <w:t xml:space="preserve"> en la parte expositiva, la solicitud de acceso a información pública planteada por don </w:t>
      </w:r>
      <w:proofErr w:type="spellStart"/>
      <w:r w:rsidR="00440304" w:rsidRPr="00086BCB">
        <w:rPr>
          <w:highlight w:val="black"/>
        </w:rPr>
        <w:t>xxxxx</w:t>
      </w:r>
      <w:r w:rsidR="00440304" w:rsidRPr="00350C5C">
        <w:rPr>
          <w:highlight w:val="black"/>
        </w:rPr>
        <w:t>xxxxxx</w:t>
      </w:r>
      <w:proofErr w:type="spellEnd"/>
      <w:r w:rsidRPr="00050AB3">
        <w:rPr>
          <w:sz w:val="22"/>
          <w:szCs w:val="22"/>
        </w:rPr>
        <w:t>.</w:t>
      </w:r>
    </w:p>
    <w:p w14:paraId="3BE4F861" w14:textId="77777777" w:rsidR="00616B01" w:rsidRPr="00050AB3" w:rsidRDefault="004624DA" w:rsidP="00616B01">
      <w:pPr>
        <w:pStyle w:val="Normal0"/>
        <w:autoSpaceDE w:val="0"/>
        <w:autoSpaceDN w:val="0"/>
        <w:adjustRightInd w:val="0"/>
        <w:jc w:val="both"/>
        <w:rPr>
          <w:b/>
          <w:sz w:val="22"/>
          <w:szCs w:val="22"/>
        </w:rPr>
      </w:pPr>
    </w:p>
    <w:p w14:paraId="5A197648" w14:textId="77777777" w:rsidR="00616B01" w:rsidRDefault="007B0A4E" w:rsidP="00616B01">
      <w:pPr>
        <w:pStyle w:val="Normal0"/>
        <w:autoSpaceDE w:val="0"/>
        <w:autoSpaceDN w:val="0"/>
        <w:adjustRightInd w:val="0"/>
        <w:jc w:val="both"/>
        <w:rPr>
          <w:sz w:val="22"/>
          <w:szCs w:val="22"/>
        </w:rPr>
      </w:pPr>
      <w:r w:rsidRPr="00050AB3">
        <w:rPr>
          <w:b/>
          <w:sz w:val="22"/>
          <w:szCs w:val="22"/>
        </w:rPr>
        <w:t>SEGUNDO</w:t>
      </w:r>
      <w:r w:rsidRPr="00050AB3">
        <w:rPr>
          <w:sz w:val="22"/>
          <w:szCs w:val="22"/>
        </w:rPr>
        <w:t>. Contra la presente resolución, que pone fin a la vía administrativa, podrá interponerse recurso contencioso-administrativo en el plazo de dos meses o, previa y potestativamente, reclamación ante el Consejo Foral de Transparencia en el plazo de un mes; en ambos casos, el plazo se contará desde el día siguiente al de la notificación de la presente resolución.</w:t>
      </w:r>
    </w:p>
    <w:p w14:paraId="1DDB8837" w14:textId="77777777" w:rsidR="00616B01" w:rsidRDefault="004624DA" w:rsidP="00616B01">
      <w:pPr>
        <w:pStyle w:val="Normal0"/>
        <w:autoSpaceDE w:val="0"/>
        <w:autoSpaceDN w:val="0"/>
        <w:adjustRightInd w:val="0"/>
        <w:jc w:val="both"/>
        <w:rPr>
          <w:sz w:val="22"/>
          <w:szCs w:val="22"/>
        </w:rPr>
      </w:pPr>
    </w:p>
    <w:p w14:paraId="0A057A94" w14:textId="77777777" w:rsidR="00C866B4" w:rsidRDefault="004624DA" w:rsidP="00616B01">
      <w:pPr>
        <w:pStyle w:val="Normal0"/>
        <w:autoSpaceDE w:val="0"/>
        <w:autoSpaceDN w:val="0"/>
        <w:adjustRightInd w:val="0"/>
        <w:jc w:val="both"/>
        <w:rPr>
          <w:sz w:val="22"/>
          <w:szCs w:val="22"/>
        </w:rPr>
      </w:pPr>
    </w:p>
    <w:p w14:paraId="0F3C3604" w14:textId="77777777" w:rsidR="00616B01" w:rsidRDefault="004624DA" w:rsidP="00616B01">
      <w:pPr>
        <w:pStyle w:val="Normal0"/>
        <w:autoSpaceDE w:val="0"/>
        <w:autoSpaceDN w:val="0"/>
        <w:adjustRightInd w:val="0"/>
        <w:jc w:val="both"/>
        <w:rPr>
          <w:sz w:val="22"/>
          <w:szCs w:val="22"/>
        </w:rPr>
      </w:pPr>
    </w:p>
    <w:p w14:paraId="13F0FE6A" w14:textId="77777777" w:rsidR="00616B01" w:rsidRPr="00050AB3" w:rsidRDefault="004624DA" w:rsidP="00616B01">
      <w:pPr>
        <w:pStyle w:val="Normal0"/>
        <w:autoSpaceDE w:val="0"/>
        <w:autoSpaceDN w:val="0"/>
        <w:adjustRightInd w:val="0"/>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DA58F2" w14:paraId="261E84F0" w14:textId="77777777" w:rsidTr="00B7244D">
        <w:trPr>
          <w:trHeight w:val="1541"/>
        </w:trPr>
        <w:tc>
          <w:tcPr>
            <w:tcW w:w="4605" w:type="dxa"/>
          </w:tcPr>
          <w:p w14:paraId="1F5CDC83" w14:textId="77777777" w:rsidR="003511FA" w:rsidRPr="0078452B" w:rsidRDefault="007B0A4E" w:rsidP="00616B01">
            <w:pPr>
              <w:pStyle w:val="Normal0"/>
              <w:spacing w:line="240" w:lineRule="exact"/>
              <w:rPr>
                <w:b/>
                <w:sz w:val="22"/>
              </w:rPr>
            </w:pPr>
            <w:r>
              <w:rPr>
                <w:b/>
                <w:sz w:val="22"/>
              </w:rPr>
              <w:t>Amaia Barredo Martín</w:t>
            </w:r>
          </w:p>
          <w:p w14:paraId="48844350" w14:textId="77777777" w:rsidR="003511FA" w:rsidRPr="0078452B" w:rsidRDefault="007B0A4E" w:rsidP="00616B01">
            <w:pPr>
              <w:pStyle w:val="Normal0"/>
              <w:spacing w:line="240" w:lineRule="exact"/>
              <w:rPr>
                <w:sz w:val="22"/>
              </w:rPr>
            </w:pPr>
            <w:r>
              <w:rPr>
                <w:sz w:val="22"/>
              </w:rPr>
              <w:t>J</w:t>
            </w:r>
            <w:r w:rsidRPr="004507FF">
              <w:rPr>
                <w:sz w:val="22"/>
              </w:rPr>
              <w:t xml:space="preserve">asangarritasun, </w:t>
            </w:r>
            <w:r>
              <w:rPr>
                <w:sz w:val="22"/>
              </w:rPr>
              <w:t>N</w:t>
            </w:r>
            <w:r w:rsidRPr="004507FF">
              <w:rPr>
                <w:sz w:val="22"/>
              </w:rPr>
              <w:t xml:space="preserve">ekazaritza eta </w:t>
            </w:r>
            <w:r>
              <w:rPr>
                <w:sz w:val="22"/>
              </w:rPr>
              <w:t>N</w:t>
            </w:r>
            <w:r w:rsidRPr="004507FF">
              <w:rPr>
                <w:sz w:val="22"/>
              </w:rPr>
              <w:t xml:space="preserve">atura </w:t>
            </w:r>
            <w:r>
              <w:rPr>
                <w:sz w:val="22"/>
              </w:rPr>
              <w:t>I</w:t>
            </w:r>
            <w:r w:rsidRPr="004507FF">
              <w:rPr>
                <w:sz w:val="22"/>
              </w:rPr>
              <w:t xml:space="preserve">ngurunearen </w:t>
            </w:r>
            <w:r>
              <w:rPr>
                <w:sz w:val="22"/>
              </w:rPr>
              <w:t>S</w:t>
            </w:r>
            <w:r w:rsidRPr="004507FF">
              <w:rPr>
                <w:sz w:val="22"/>
              </w:rPr>
              <w:t xml:space="preserve">aileko </w:t>
            </w:r>
            <w:r>
              <w:rPr>
                <w:sz w:val="22"/>
              </w:rPr>
              <w:t>F</w:t>
            </w:r>
            <w:r w:rsidRPr="004507FF">
              <w:rPr>
                <w:sz w:val="22"/>
              </w:rPr>
              <w:t xml:space="preserve">oru </w:t>
            </w:r>
            <w:r>
              <w:rPr>
                <w:sz w:val="22"/>
              </w:rPr>
              <w:t>D</w:t>
            </w:r>
            <w:r w:rsidRPr="004507FF">
              <w:rPr>
                <w:sz w:val="22"/>
              </w:rPr>
              <w:t>iputatua</w:t>
            </w:r>
            <w:r w:rsidRPr="0078452B">
              <w:rPr>
                <w:sz w:val="22"/>
              </w:rPr>
              <w:t xml:space="preserve"> </w:t>
            </w:r>
          </w:p>
          <w:p w14:paraId="151736F9" w14:textId="77777777" w:rsidR="003511FA" w:rsidRDefault="007B0A4E" w:rsidP="00616B01">
            <w:pPr>
              <w:pStyle w:val="Normal0"/>
              <w:spacing w:line="240" w:lineRule="exact"/>
              <w:rPr>
                <w:sz w:val="22"/>
              </w:rPr>
            </w:pPr>
            <w:r w:rsidRPr="0078452B">
              <w:rPr>
                <w:sz w:val="22"/>
              </w:rPr>
              <w:t>Diputad</w:t>
            </w:r>
            <w:r>
              <w:rPr>
                <w:sz w:val="22"/>
              </w:rPr>
              <w:t>a</w:t>
            </w:r>
            <w:r w:rsidRPr="0078452B">
              <w:rPr>
                <w:sz w:val="22"/>
              </w:rPr>
              <w:t xml:space="preserve"> Foral de </w:t>
            </w:r>
            <w:r>
              <w:rPr>
                <w:sz w:val="22"/>
              </w:rPr>
              <w:t xml:space="preserve">Sostenibilidad, </w:t>
            </w:r>
            <w:r>
              <w:rPr>
                <w:sz w:val="22"/>
              </w:rPr>
              <w:br/>
              <w:t xml:space="preserve">Agricultura y </w:t>
            </w:r>
            <w:r w:rsidRPr="0078452B">
              <w:rPr>
                <w:sz w:val="22"/>
              </w:rPr>
              <w:t xml:space="preserve">Medio </w:t>
            </w:r>
            <w:r>
              <w:rPr>
                <w:sz w:val="22"/>
              </w:rPr>
              <w:t xml:space="preserve">Natural </w:t>
            </w:r>
          </w:p>
        </w:tc>
        <w:tc>
          <w:tcPr>
            <w:tcW w:w="4605" w:type="dxa"/>
          </w:tcPr>
          <w:p w14:paraId="36A498F1" w14:textId="77777777" w:rsidR="00AB6976" w:rsidRDefault="007B0A4E" w:rsidP="00616B01">
            <w:pPr>
              <w:pStyle w:val="Normal0"/>
              <w:rPr>
                <w:rFonts w:cs="Times New Roman"/>
                <w:b/>
                <w:bCs/>
                <w:lang w:bidi="ar-SA"/>
              </w:rPr>
            </w:pPr>
            <w:r>
              <w:rPr>
                <w:b/>
                <w:bCs/>
                <w:sz w:val="22"/>
              </w:rPr>
              <w:t>María José Madeira García</w:t>
            </w:r>
          </w:p>
          <w:p w14:paraId="638C2F03" w14:textId="77777777" w:rsidR="00AB6976" w:rsidRDefault="007B0A4E" w:rsidP="00616B01">
            <w:pPr>
              <w:pStyle w:val="Normal0"/>
              <w:rPr>
                <w:rFonts w:ascii="Arial" w:hAnsi="Arial"/>
                <w:sz w:val="16"/>
                <w:szCs w:val="16"/>
              </w:rPr>
            </w:pPr>
            <w:r>
              <w:rPr>
                <w:sz w:val="22"/>
              </w:rPr>
              <w:t>Ingurumen eta Hirigintzaren Zuzendaria</w:t>
            </w:r>
          </w:p>
          <w:p w14:paraId="13F481A6" w14:textId="77777777" w:rsidR="00AB6976" w:rsidRDefault="007B0A4E" w:rsidP="00616B01">
            <w:pPr>
              <w:pStyle w:val="Normal0"/>
              <w:spacing w:line="240" w:lineRule="exact"/>
              <w:rPr>
                <w:sz w:val="22"/>
              </w:rPr>
            </w:pPr>
            <w:r>
              <w:rPr>
                <w:sz w:val="22"/>
              </w:rPr>
              <w:t>Directora de Medio Natural</w:t>
            </w:r>
          </w:p>
        </w:tc>
      </w:tr>
      <w:bookmarkEnd w:id="0"/>
    </w:tbl>
    <w:p w14:paraId="7BDEB789"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A34067F"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8E9F634"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296E7FB"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24E5FC6"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3BD15BA"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7F788DE"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E4A6FB6"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8AC6265"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847AF43"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11B467A"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E6B8572"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DEB3910"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3F8DBB4"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D114768"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AED3168"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88D2757"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A2B162A" w14:textId="77777777" w:rsidR="00663BA9" w:rsidRDefault="004624D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663BA9"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20C8" w14:textId="77777777" w:rsidR="00ED3DFE" w:rsidRDefault="007B0A4E">
      <w:r>
        <w:separator/>
      </w:r>
    </w:p>
  </w:endnote>
  <w:endnote w:type="continuationSeparator" w:id="0">
    <w:p w14:paraId="297704A5" w14:textId="77777777" w:rsidR="00ED3DFE" w:rsidRDefault="007B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DA58F2" w14:paraId="4E118B10" w14:textId="77777777" w:rsidTr="00E47DB3">
      <w:trPr>
        <w:trHeight w:val="567"/>
      </w:trPr>
      <w:tc>
        <w:tcPr>
          <w:tcW w:w="9921" w:type="dxa"/>
        </w:tcPr>
        <w:p w14:paraId="49E0BF23" w14:textId="77777777" w:rsidR="00007960" w:rsidRPr="00E47DB3" w:rsidRDefault="007B0A4E"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4</w:t>
          </w:r>
          <w:r w:rsidRPr="00E47DB3">
            <w:rPr>
              <w:rFonts w:ascii="Arial" w:hAnsi="Arial" w:cs="Arial"/>
              <w:color w:val="808080"/>
              <w:sz w:val="16"/>
            </w:rPr>
            <w:fldChar w:fldCharType="end"/>
          </w:r>
        </w:p>
      </w:tc>
    </w:tr>
  </w:tbl>
  <w:p w14:paraId="1210CD7E" w14:textId="77777777" w:rsidR="00007960" w:rsidRDefault="004624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4F6C" w14:textId="77777777" w:rsidR="00BE3C89" w:rsidRPr="0013291F" w:rsidRDefault="007B0A4E"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DA58F2" w14:paraId="5467EEBB" w14:textId="77777777" w:rsidTr="005C6341">
      <w:trPr>
        <w:trHeight w:val="433"/>
      </w:trPr>
      <w:tc>
        <w:tcPr>
          <w:tcW w:w="4323" w:type="dxa"/>
        </w:tcPr>
        <w:p w14:paraId="0AEBBA5B" w14:textId="77777777" w:rsidR="00BE3C89" w:rsidRPr="0013291F" w:rsidRDefault="007B0A4E" w:rsidP="005C6341">
          <w:pPr>
            <w:pStyle w:val="Textoindependiente"/>
            <w:spacing w:after="113" w:line="220" w:lineRule="exact"/>
            <w:ind w:left="11"/>
            <w:jc w:val="left"/>
            <w:rPr>
              <w:rFonts w:cs="Arial"/>
              <w:b/>
              <w:sz w:val="16"/>
              <w:szCs w:val="16"/>
            </w:rPr>
          </w:pPr>
          <w:r w:rsidRPr="0013291F">
            <w:rPr>
              <w:rFonts w:cs="Arial"/>
              <w:b/>
              <w:sz w:val="16"/>
              <w:szCs w:val="16"/>
            </w:rPr>
            <w:t>Diputatu Nagusiaren Saila</w:t>
          </w:r>
        </w:p>
        <w:p w14:paraId="1058D98D" w14:textId="77777777" w:rsidR="00BE3C89" w:rsidRPr="0013291F" w:rsidRDefault="007B0A4E" w:rsidP="005C6341">
          <w:pPr>
            <w:pStyle w:val="Textoindependiente"/>
            <w:spacing w:after="113" w:line="220" w:lineRule="exact"/>
            <w:ind w:left="11"/>
            <w:jc w:val="left"/>
            <w:rPr>
              <w:rFonts w:cs="Arial"/>
              <w:sz w:val="16"/>
              <w:szCs w:val="16"/>
            </w:rPr>
          </w:pPr>
          <w:r w:rsidRPr="0013291F">
            <w:rPr>
              <w:rFonts w:cs="Arial"/>
              <w:b/>
              <w:sz w:val="16"/>
              <w:szCs w:val="16"/>
            </w:rPr>
            <w:t>Departamento de Diputado General</w:t>
          </w:r>
        </w:p>
      </w:tc>
      <w:tc>
        <w:tcPr>
          <w:tcW w:w="3118" w:type="dxa"/>
        </w:tcPr>
        <w:p w14:paraId="3B9EBB4F" w14:textId="77777777" w:rsidR="00BE3C89" w:rsidRPr="0013291F" w:rsidRDefault="007B0A4E" w:rsidP="005C6341">
          <w:pPr>
            <w:pStyle w:val="Textoindependiente"/>
            <w:spacing w:before="20" w:after="70" w:line="200" w:lineRule="exact"/>
            <w:ind w:left="40"/>
            <w:jc w:val="left"/>
            <w:rPr>
              <w:rFonts w:cs="Arial"/>
              <w:sz w:val="16"/>
              <w:szCs w:val="16"/>
            </w:rPr>
          </w:pPr>
          <w:r w:rsidRPr="0013291F">
            <w:rPr>
              <w:rFonts w:cs="Arial"/>
              <w:sz w:val="16"/>
              <w:szCs w:val="16"/>
            </w:rPr>
            <w:t>Kabinetearen eta Komunikazioaren Zuzendaritza</w:t>
          </w:r>
        </w:p>
        <w:p w14:paraId="53848B4F" w14:textId="77777777" w:rsidR="00BE3C89" w:rsidRPr="0013291F" w:rsidRDefault="007B0A4E" w:rsidP="005C6341">
          <w:pPr>
            <w:pStyle w:val="Textoindependiente"/>
            <w:spacing w:before="20" w:after="70" w:line="200" w:lineRule="exact"/>
            <w:ind w:left="40"/>
            <w:jc w:val="left"/>
            <w:rPr>
              <w:rFonts w:cs="Arial"/>
              <w:sz w:val="16"/>
              <w:szCs w:val="16"/>
            </w:rPr>
          </w:pPr>
          <w:r w:rsidRPr="0013291F">
            <w:rPr>
              <w:rFonts w:cs="Arial"/>
              <w:sz w:val="16"/>
              <w:szCs w:val="16"/>
            </w:rPr>
            <w:t>Dirección de Gabinete y Comunicación</w:t>
          </w:r>
        </w:p>
      </w:tc>
      <w:tc>
        <w:tcPr>
          <w:tcW w:w="2268" w:type="dxa"/>
        </w:tcPr>
        <w:p w14:paraId="1EE125BA" w14:textId="77777777" w:rsidR="00BE3C89" w:rsidRPr="0013291F" w:rsidRDefault="007B0A4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3E7103BF" w14:textId="77777777" w:rsidR="00BE3C89" w:rsidRPr="0013291F" w:rsidRDefault="007B0A4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10A9928D" w14:textId="77777777" w:rsidR="00BE3C89" w:rsidRPr="0013291F" w:rsidRDefault="007B0A4E"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323E6F06" w14:textId="77777777" w:rsidR="00007960" w:rsidRPr="00BE3C89" w:rsidRDefault="004624DA"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9D92" w14:textId="77777777" w:rsidR="00ED3DFE" w:rsidRDefault="007B0A4E">
      <w:r>
        <w:separator/>
      </w:r>
    </w:p>
  </w:footnote>
  <w:footnote w:type="continuationSeparator" w:id="0">
    <w:p w14:paraId="54809B8D" w14:textId="77777777" w:rsidR="00ED3DFE" w:rsidRDefault="007B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DA58F2" w14:paraId="0C7959FF" w14:textId="77777777" w:rsidTr="001A0E0E">
      <w:trPr>
        <w:cantSplit/>
        <w:trHeight w:hRule="exact" w:val="567"/>
      </w:trPr>
      <w:tc>
        <w:tcPr>
          <w:tcW w:w="4536" w:type="dxa"/>
          <w:vAlign w:val="center"/>
        </w:tcPr>
        <w:p w14:paraId="6EDC47F3" w14:textId="77777777" w:rsidR="00007960" w:rsidRDefault="004624DA" w:rsidP="0078412B">
          <w:pPr>
            <w:pStyle w:val="Encabezado"/>
          </w:pPr>
        </w:p>
      </w:tc>
      <w:tc>
        <w:tcPr>
          <w:tcW w:w="851" w:type="dxa"/>
          <w:vMerge w:val="restart"/>
          <w:vAlign w:val="center"/>
        </w:tcPr>
        <w:p w14:paraId="13C1199C" w14:textId="77777777" w:rsidR="00007960" w:rsidRDefault="007B0A4E" w:rsidP="0078412B">
          <w:pPr>
            <w:pStyle w:val="Encabezado"/>
            <w:jc w:val="center"/>
          </w:pPr>
          <w:r>
            <w:rPr>
              <w:noProof/>
              <w:lang w:val="es-ES"/>
            </w:rPr>
            <w:drawing>
              <wp:inline distT="0" distB="0" distL="0" distR="0" wp14:anchorId="560F2CCC" wp14:editId="1F3682B3">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2003189" w14:textId="77777777" w:rsidR="00007960" w:rsidRDefault="004624DA" w:rsidP="0078412B">
          <w:pPr>
            <w:pStyle w:val="Encabezado"/>
          </w:pPr>
        </w:p>
      </w:tc>
    </w:tr>
    <w:tr w:rsidR="00DA58F2" w14:paraId="56E3DB1C" w14:textId="77777777" w:rsidTr="001A0E0E">
      <w:trPr>
        <w:cantSplit/>
        <w:trHeight w:hRule="exact" w:val="567"/>
      </w:trPr>
      <w:tc>
        <w:tcPr>
          <w:tcW w:w="4536" w:type="dxa"/>
          <w:vAlign w:val="center"/>
        </w:tcPr>
        <w:p w14:paraId="267E3D9E" w14:textId="77777777" w:rsidR="00007960" w:rsidRDefault="004624DA" w:rsidP="0078412B">
          <w:pPr>
            <w:pStyle w:val="Encabezado"/>
          </w:pPr>
        </w:p>
      </w:tc>
      <w:tc>
        <w:tcPr>
          <w:tcW w:w="851" w:type="dxa"/>
          <w:vMerge/>
          <w:vAlign w:val="center"/>
        </w:tcPr>
        <w:p w14:paraId="540E8FCB" w14:textId="77777777" w:rsidR="00007960" w:rsidRDefault="004624DA" w:rsidP="0078412B">
          <w:pPr>
            <w:pStyle w:val="Encabezado"/>
            <w:jc w:val="center"/>
          </w:pPr>
        </w:p>
      </w:tc>
      <w:tc>
        <w:tcPr>
          <w:tcW w:w="4536" w:type="dxa"/>
          <w:vAlign w:val="center"/>
        </w:tcPr>
        <w:p w14:paraId="4DAF3DD4" w14:textId="77777777" w:rsidR="00007960" w:rsidRDefault="004624DA" w:rsidP="0078412B">
          <w:pPr>
            <w:pStyle w:val="Encabezado"/>
          </w:pPr>
        </w:p>
      </w:tc>
    </w:tr>
  </w:tbl>
  <w:p w14:paraId="7E59ACFD" w14:textId="77777777" w:rsidR="00007960" w:rsidRPr="0013766D" w:rsidRDefault="004624DA">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DA58F2" w14:paraId="5E78D915" w14:textId="77777777" w:rsidTr="001F2BE9">
      <w:trPr>
        <w:trHeight w:val="2041"/>
      </w:trPr>
      <w:tc>
        <w:tcPr>
          <w:tcW w:w="3969" w:type="dxa"/>
        </w:tcPr>
        <w:p w14:paraId="2DCA6F59" w14:textId="77777777" w:rsidR="00007960" w:rsidRPr="007F2571" w:rsidRDefault="007B0A4E"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0940D8C9" wp14:editId="17C93CA3">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4A1E7502" w14:textId="77777777" w:rsidR="00007960" w:rsidRDefault="004624DA" w:rsidP="00470015">
          <w:pPr>
            <w:pStyle w:val="Piedepgina"/>
            <w:rPr>
              <w:rFonts w:ascii="Arial" w:hAnsi="Arial" w:cs="Arial"/>
              <w:b/>
              <w:bCs/>
              <w:color w:val="808080" w:themeColor="background1" w:themeShade="80"/>
              <w:sz w:val="12"/>
              <w:szCs w:val="12"/>
              <w:lang w:val="es-ES"/>
            </w:rPr>
          </w:pPr>
        </w:p>
        <w:p w14:paraId="0D7BB91A" w14:textId="77777777" w:rsidR="00007960" w:rsidRPr="000B6392" w:rsidRDefault="004624DA" w:rsidP="00470015">
          <w:pPr>
            <w:pStyle w:val="Encabezado"/>
            <w:rPr>
              <w:rFonts w:ascii="Arial" w:hAnsi="Arial" w:cs="Arial"/>
              <w:b/>
              <w:color w:val="808080" w:themeColor="background1" w:themeShade="80"/>
              <w:sz w:val="16"/>
              <w:szCs w:val="16"/>
            </w:rPr>
          </w:pPr>
        </w:p>
      </w:tc>
    </w:tr>
  </w:tbl>
  <w:p w14:paraId="5D2CF523" w14:textId="77777777" w:rsidR="00007960" w:rsidRPr="0013766D" w:rsidRDefault="004624DA"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329753880">
    <w:abstractNumId w:val="0"/>
  </w:num>
  <w:num w:numId="2" w16cid:durableId="1763798168">
    <w:abstractNumId w:val="2"/>
  </w:num>
  <w:num w:numId="3" w16cid:durableId="1339774388">
    <w:abstractNumId w:val="1"/>
  </w:num>
  <w:num w:numId="4" w16cid:durableId="2025593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F2"/>
    <w:rsid w:val="00240065"/>
    <w:rsid w:val="003C5E32"/>
    <w:rsid w:val="00440304"/>
    <w:rsid w:val="004624DA"/>
    <w:rsid w:val="007B0A4E"/>
    <w:rsid w:val="00DA58F2"/>
    <w:rsid w:val="00ED3DF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47D0"/>
  <w15:docId w15:val="{8EF3A035-CD46-4EEF-A409-19274F04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saludo">
    <w:name w:val="saludo"/>
    <w:basedOn w:val="Normal0"/>
    <w:rsid w:val="00616B01"/>
    <w:pPr>
      <w:spacing w:before="100" w:beforeAutospacing="1" w:after="100" w:afterAutospacing="1"/>
    </w:pPr>
    <w:rPr>
      <w:rFonts w:cs="Times New Roman"/>
      <w:sz w:val="24"/>
      <w:szCs w:val="24"/>
      <w:lang w:val="es-ES" w:bidi="ar-SA"/>
    </w:rPr>
  </w:style>
  <w:style w:type="character" w:styleId="nfasis">
    <w:name w:val="Emphasis"/>
    <w:basedOn w:val="Fuentedeprrafopredeter"/>
    <w:uiPriority w:val="20"/>
    <w:qFormat/>
    <w:rsid w:val="00616B01"/>
    <w:rPr>
      <w:rFonts w:ascii="Times New Roman" w:hAnsi="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9</TotalTime>
  <Pages>3</Pages>
  <Words>1462</Words>
  <Characters>7750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Orobengoa San Vicente, Galder</cp:lastModifiedBy>
  <cp:revision>7</cp:revision>
  <cp:lastPrinted>2015-02-16T14:04:00Z</cp:lastPrinted>
  <dcterms:created xsi:type="dcterms:W3CDTF">2023-11-21T10:35:00Z</dcterms:created>
  <dcterms:modified xsi:type="dcterms:W3CDTF">2023-12-28T11:01:00Z</dcterms:modified>
</cp:coreProperties>
</file>