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47E1F" w14:textId="77777777" w:rsidR="00402017" w:rsidRPr="00393647" w:rsidRDefault="00411DF4"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lang w:val="eu-ES"/>
        </w:rPr>
      </w:pPr>
    </w:p>
    <w:p w14:paraId="19C01E29" w14:textId="77777777" w:rsidR="00D20995" w:rsidRPr="00393647" w:rsidRDefault="00411DF4" w:rsidP="00663BA9">
      <w:pPr>
        <w:pStyle w:val="Sangradetextonormal"/>
        <w:tabs>
          <w:tab w:val="clear" w:pos="1702"/>
          <w:tab w:val="clear" w:pos="4253"/>
          <w:tab w:val="clear" w:pos="5104"/>
          <w:tab w:val="clear" w:pos="5812"/>
        </w:tabs>
        <w:spacing w:before="0" w:after="0"/>
        <w:ind w:firstLine="0"/>
        <w:jc w:val="both"/>
        <w:rPr>
          <w:rFonts w:ascii="Arial" w:hAnsi="Arial" w:cs="Arial"/>
          <w:sz w:val="16"/>
          <w:szCs w:val="16"/>
          <w:lang w:val="eu-ES"/>
        </w:rPr>
      </w:pPr>
      <w:bookmarkStart w:id="0" w:name="RESOLUCION"/>
    </w:p>
    <w:p w14:paraId="7A51D9DE" w14:textId="0EC4DC84" w:rsidR="00EB05EC" w:rsidRPr="00393647" w:rsidRDefault="00DB2F60" w:rsidP="00EB05EC">
      <w:pPr>
        <w:pStyle w:val="Normal0"/>
        <w:spacing w:before="240" w:after="480"/>
        <w:rPr>
          <w:b/>
          <w:sz w:val="24"/>
          <w:lang w:val="eu-ES"/>
        </w:rPr>
      </w:pPr>
      <w:r w:rsidRPr="00393647">
        <w:rPr>
          <w:b/>
          <w:sz w:val="24"/>
          <w:lang w:val="eu-ES"/>
        </w:rPr>
        <w:t>2765/2023</w:t>
      </w:r>
      <w:r w:rsidR="00E8163C" w:rsidRPr="00393647">
        <w:rPr>
          <w:b/>
          <w:sz w:val="24"/>
          <w:lang w:val="eu-ES"/>
        </w:rPr>
        <w:t xml:space="preserve"> EBAZPENA, ekainaren 16koa</w:t>
      </w:r>
    </w:p>
    <w:p w14:paraId="3E61523E" w14:textId="77777777" w:rsidR="00393647" w:rsidRPr="00393647" w:rsidRDefault="00393647" w:rsidP="00704500">
      <w:pPr>
        <w:pStyle w:val="Normal0"/>
        <w:tabs>
          <w:tab w:val="right" w:pos="8789"/>
        </w:tabs>
        <w:spacing w:after="360"/>
        <w:rPr>
          <w:rFonts w:cs="Times New Roman"/>
          <w:sz w:val="22"/>
          <w:lang w:val="eu-ES"/>
        </w:rPr>
      </w:pPr>
      <w:r w:rsidRPr="00393647">
        <w:rPr>
          <w:rFonts w:cs="Times New Roman"/>
          <w:sz w:val="22"/>
          <w:lang w:val="eu-ES"/>
        </w:rPr>
        <w:t>Toki Finantzaketarako eta Administrazio Kudeaketarako Zerbitzua</w:t>
      </w:r>
    </w:p>
    <w:p w14:paraId="312004B9" w14:textId="058AFFF9" w:rsidR="00F91A6B" w:rsidRPr="00393647" w:rsidRDefault="00393647" w:rsidP="00704500">
      <w:pPr>
        <w:pStyle w:val="Normal0"/>
        <w:tabs>
          <w:tab w:val="right" w:pos="8789"/>
        </w:tabs>
        <w:spacing w:after="360"/>
        <w:rPr>
          <w:rFonts w:cs="Times New Roman"/>
          <w:sz w:val="22"/>
          <w:szCs w:val="22"/>
          <w:lang w:val="eu-ES"/>
        </w:rPr>
      </w:pPr>
      <w:r w:rsidRPr="00393647">
        <w:rPr>
          <w:rFonts w:cs="Times New Roman"/>
          <w:sz w:val="22"/>
          <w:lang w:val="eu-ES"/>
        </w:rPr>
        <w:t>Espediente zenbakia</w:t>
      </w:r>
      <w:r w:rsidR="00B04944" w:rsidRPr="00393647">
        <w:rPr>
          <w:b/>
          <w:sz w:val="22"/>
          <w:lang w:val="eu-ES"/>
        </w:rPr>
        <w:t xml:space="preserve">: </w:t>
      </w:r>
      <w:r w:rsidR="00B04944" w:rsidRPr="00393647">
        <w:rPr>
          <w:rFonts w:cs="Times New Roman"/>
          <w:sz w:val="22"/>
          <w:szCs w:val="22"/>
          <w:lang w:val="eu-ES"/>
        </w:rPr>
        <w:t>23/00017</w:t>
      </w:r>
    </w:p>
    <w:p w14:paraId="2D3705BE" w14:textId="46D0EA29" w:rsidR="002019FA" w:rsidRPr="00127F6C" w:rsidRDefault="00393647" w:rsidP="00393647">
      <w:pPr>
        <w:pStyle w:val="Normal0"/>
        <w:spacing w:after="240"/>
        <w:jc w:val="both"/>
        <w:rPr>
          <w:b/>
          <w:bCs/>
          <w:sz w:val="22"/>
          <w:szCs w:val="22"/>
          <w:lang w:val="eu-ES"/>
        </w:rPr>
      </w:pPr>
      <w:proofErr w:type="spellStart"/>
      <w:r w:rsidRPr="00127F6C">
        <w:rPr>
          <w:b/>
          <w:bCs/>
          <w:sz w:val="22"/>
          <w:szCs w:val="22"/>
          <w:highlight w:val="darkRed"/>
          <w:lang w:val="eu-ES"/>
        </w:rPr>
        <w:t>x</w:t>
      </w:r>
      <w:r w:rsidRPr="00127F6C">
        <w:rPr>
          <w:b/>
          <w:bCs/>
          <w:sz w:val="22"/>
          <w:szCs w:val="22"/>
          <w:highlight w:val="black"/>
          <w:lang w:val="eu-ES"/>
        </w:rPr>
        <w:t>xxxxxxxxxx</w:t>
      </w:r>
      <w:proofErr w:type="spellEnd"/>
      <w:r w:rsidRPr="00127F6C">
        <w:rPr>
          <w:b/>
          <w:bCs/>
          <w:sz w:val="22"/>
          <w:szCs w:val="22"/>
          <w:lang w:val="eu-ES"/>
        </w:rPr>
        <w:t xml:space="preserve"> jaunak/andreak informazio publikoa eskuratzeko aurkeztutako eskaera ezestea. Bertan, </w:t>
      </w:r>
      <w:proofErr w:type="spellStart"/>
      <w:r w:rsidRPr="00127F6C">
        <w:rPr>
          <w:b/>
          <w:bCs/>
          <w:sz w:val="22"/>
          <w:szCs w:val="22"/>
          <w:lang w:val="eu-ES"/>
        </w:rPr>
        <w:t>Hiberus</w:t>
      </w:r>
      <w:proofErr w:type="spellEnd"/>
      <w:r w:rsidRPr="00127F6C">
        <w:rPr>
          <w:b/>
          <w:bCs/>
          <w:sz w:val="22"/>
          <w:szCs w:val="22"/>
          <w:lang w:val="eu-ES"/>
        </w:rPr>
        <w:t xml:space="preserve"> enpresak Arabako Foru Suhiltzaileak erakunde autonomoarentzat egindako </w:t>
      </w:r>
      <w:r w:rsidRPr="00127F6C">
        <w:rPr>
          <w:b/>
          <w:bCs/>
          <w:sz w:val="22"/>
          <w:szCs w:val="22"/>
          <w:lang w:val="eu-ES"/>
        </w:rPr>
        <w:t>dokumentazioa</w:t>
      </w:r>
      <w:r w:rsidRPr="00127F6C">
        <w:rPr>
          <w:b/>
          <w:bCs/>
          <w:sz w:val="22"/>
          <w:szCs w:val="22"/>
          <w:lang w:val="eu-ES"/>
        </w:rPr>
        <w:t xml:space="preserve"> eskatzen d</w:t>
      </w:r>
      <w:r w:rsidRPr="00127F6C">
        <w:rPr>
          <w:b/>
          <w:bCs/>
          <w:sz w:val="22"/>
          <w:szCs w:val="22"/>
          <w:lang w:val="eu-ES"/>
        </w:rPr>
        <w:t>a enkargu hau betetzeko:</w:t>
      </w:r>
      <w:r w:rsidRPr="00127F6C">
        <w:rPr>
          <w:b/>
          <w:bCs/>
          <w:sz w:val="22"/>
          <w:szCs w:val="22"/>
          <w:lang w:val="eu-ES"/>
        </w:rPr>
        <w:t xml:space="preserve"> "Administrazio-egitura</w:t>
      </w:r>
      <w:r w:rsidR="00A155AB">
        <w:rPr>
          <w:b/>
          <w:bCs/>
          <w:sz w:val="22"/>
          <w:szCs w:val="22"/>
          <w:lang w:val="eu-ES"/>
        </w:rPr>
        <w:t xml:space="preserve"> </w:t>
      </w:r>
      <w:r w:rsidRPr="00127F6C">
        <w:rPr>
          <w:b/>
          <w:bCs/>
          <w:sz w:val="22"/>
          <w:szCs w:val="22"/>
          <w:lang w:val="eu-ES"/>
        </w:rPr>
        <w:t xml:space="preserve">aztertzeko aholkularitza-zerbitzua, lanpostuen eginkizunei eta zereginei dagokienez, eta Arabako Foru Suhiltzaileak erakunde autonomoko Giza Baliabideen eta Administrazio Kudeaketaren Zerbitzuko langileen ordezkapenari eta erosketei buruzko lan prozesuen </w:t>
      </w:r>
      <w:proofErr w:type="spellStart"/>
      <w:r w:rsidRPr="00127F6C">
        <w:rPr>
          <w:b/>
          <w:bCs/>
          <w:sz w:val="22"/>
          <w:szCs w:val="22"/>
          <w:lang w:val="eu-ES"/>
        </w:rPr>
        <w:t>birdiseinu</w:t>
      </w:r>
      <w:proofErr w:type="spellEnd"/>
      <w:r w:rsidRPr="00127F6C">
        <w:rPr>
          <w:b/>
          <w:bCs/>
          <w:sz w:val="22"/>
          <w:szCs w:val="22"/>
          <w:lang w:val="eu-ES"/>
        </w:rPr>
        <w:t xml:space="preserve"> eta dokumentazioari dagokionez.".</w:t>
      </w:r>
    </w:p>
    <w:p w14:paraId="1717A613" w14:textId="74BE1FCC" w:rsidR="00393647" w:rsidRDefault="00393647" w:rsidP="000146A5">
      <w:pPr>
        <w:pStyle w:val="Normal0"/>
        <w:spacing w:after="240"/>
        <w:jc w:val="both"/>
        <w:rPr>
          <w:i/>
          <w:iCs/>
          <w:sz w:val="22"/>
          <w:szCs w:val="22"/>
          <w:lang w:val="eu-ES"/>
        </w:rPr>
      </w:pPr>
      <w:r w:rsidRPr="00393647">
        <w:rPr>
          <w:sz w:val="22"/>
          <w:szCs w:val="22"/>
          <w:lang w:val="eu-ES"/>
        </w:rPr>
        <w:t xml:space="preserve">2023ko maiatzaren 17an, 202390000049154 erregistro-zenbakiarekin, Arabako Foru Aldundian sartu zen </w:t>
      </w:r>
      <w:proofErr w:type="spellStart"/>
      <w:r w:rsidRPr="00393647">
        <w:rPr>
          <w:sz w:val="22"/>
          <w:szCs w:val="22"/>
          <w:highlight w:val="black"/>
          <w:lang w:val="eu-ES"/>
        </w:rPr>
        <w:t>xxxxxxxxxxx</w:t>
      </w:r>
      <w:proofErr w:type="spellEnd"/>
      <w:r w:rsidRPr="00393647">
        <w:rPr>
          <w:sz w:val="22"/>
          <w:szCs w:val="22"/>
          <w:lang w:val="eu-ES"/>
        </w:rPr>
        <w:t xml:space="preserve"> jaunak/andreak aurkeztutako informazio publikoa eskuratzeko eskaera, Gardentasunari, Herritarren Partaidetzari eta Gobernu Onari buruzko otsailaren 8ko 1/2017 Foru Arauaren babesean. Eskaera</w:t>
      </w:r>
      <w:r w:rsidR="00127F6C">
        <w:rPr>
          <w:sz w:val="22"/>
          <w:szCs w:val="22"/>
          <w:lang w:val="eu-ES"/>
        </w:rPr>
        <w:t xml:space="preserve"> horretan kopia hauek eskatzen dira</w:t>
      </w:r>
      <w:r w:rsidR="00127F6C" w:rsidRPr="00127F6C">
        <w:rPr>
          <w:i/>
          <w:iCs/>
          <w:sz w:val="22"/>
          <w:szCs w:val="22"/>
          <w:lang w:val="eu-ES"/>
        </w:rPr>
        <w:t xml:space="preserve">: </w:t>
      </w:r>
      <w:r w:rsidR="00127F6C" w:rsidRPr="00127F6C">
        <w:rPr>
          <w:i/>
          <w:iCs/>
          <w:sz w:val="22"/>
          <w:szCs w:val="22"/>
          <w:lang w:val="eu-ES"/>
        </w:rPr>
        <w:t xml:space="preserve">"2023ko martxoaren 15ean, 202390000028532 erregistro-zenbakiarekin, informazio publikoa eskuratzeko eskaera aurkeztu nuen, Gardentasunari, Herritarren Partaidetzari eta Gobernu Onari buruzko otsailaren 8ko 1/2017 Foru Arauaren babesean. Erregistro horretan, </w:t>
      </w:r>
      <w:proofErr w:type="spellStart"/>
      <w:r w:rsidR="00127F6C" w:rsidRPr="00127F6C">
        <w:rPr>
          <w:i/>
          <w:iCs/>
          <w:sz w:val="22"/>
          <w:szCs w:val="22"/>
          <w:lang w:val="eu-ES"/>
        </w:rPr>
        <w:t>Hiberus</w:t>
      </w:r>
      <w:proofErr w:type="spellEnd"/>
      <w:r w:rsidR="00127F6C" w:rsidRPr="00127F6C">
        <w:rPr>
          <w:i/>
          <w:iCs/>
          <w:sz w:val="22"/>
          <w:szCs w:val="22"/>
          <w:lang w:val="eu-ES"/>
        </w:rPr>
        <w:t xml:space="preserve"> IT </w:t>
      </w:r>
      <w:proofErr w:type="spellStart"/>
      <w:r w:rsidR="00127F6C" w:rsidRPr="00127F6C">
        <w:rPr>
          <w:i/>
          <w:iCs/>
          <w:sz w:val="22"/>
          <w:szCs w:val="22"/>
          <w:lang w:val="eu-ES"/>
        </w:rPr>
        <w:t>Development</w:t>
      </w:r>
      <w:proofErr w:type="spellEnd"/>
      <w:r w:rsidR="00127F6C" w:rsidRPr="00127F6C">
        <w:rPr>
          <w:i/>
          <w:iCs/>
          <w:sz w:val="22"/>
          <w:szCs w:val="22"/>
          <w:lang w:val="eu-ES"/>
        </w:rPr>
        <w:t xml:space="preserve"> </w:t>
      </w:r>
      <w:proofErr w:type="spellStart"/>
      <w:r w:rsidR="00127F6C" w:rsidRPr="00127F6C">
        <w:rPr>
          <w:i/>
          <w:iCs/>
          <w:sz w:val="22"/>
          <w:szCs w:val="22"/>
          <w:lang w:val="eu-ES"/>
        </w:rPr>
        <w:t>Services</w:t>
      </w:r>
      <w:proofErr w:type="spellEnd"/>
      <w:r w:rsidR="00127F6C" w:rsidRPr="00127F6C">
        <w:rPr>
          <w:i/>
          <w:iCs/>
          <w:sz w:val="22"/>
          <w:szCs w:val="22"/>
          <w:lang w:val="eu-ES"/>
        </w:rPr>
        <w:t xml:space="preserve"> SL enpresak egindako txostenak, analisiak, azterlanak eta/edo edozein motatako dokumentazioa eskatzen zen, "</w:t>
      </w:r>
      <w:r w:rsidR="00A155AB" w:rsidRPr="00A155AB">
        <w:rPr>
          <w:i/>
          <w:iCs/>
          <w:sz w:val="22"/>
          <w:szCs w:val="22"/>
          <w:lang w:val="eu-ES"/>
        </w:rPr>
        <w:t>Administrazio-egitura aztertzeko aholkularitza-zerbitzua, lanpostuen eginkizunei eta zereginei dagokienez, et</w:t>
      </w:r>
      <w:r w:rsidR="00A155AB">
        <w:rPr>
          <w:i/>
          <w:iCs/>
          <w:sz w:val="22"/>
          <w:szCs w:val="22"/>
          <w:lang w:val="eu-ES"/>
        </w:rPr>
        <w:t xml:space="preserve">a </w:t>
      </w:r>
      <w:r w:rsidR="00127F6C" w:rsidRPr="00127F6C">
        <w:rPr>
          <w:i/>
          <w:iCs/>
          <w:sz w:val="22"/>
          <w:szCs w:val="22"/>
          <w:lang w:val="eu-ES"/>
        </w:rPr>
        <w:t>Arabako Foru Suhiltzaileak erakunde autonomoaren Giza Baliabideen eta Administrazio Kudeaketaren Zerbitzuko langileen ordezkapen</w:t>
      </w:r>
      <w:r w:rsidR="00A155AB">
        <w:rPr>
          <w:i/>
          <w:iCs/>
          <w:sz w:val="22"/>
          <w:szCs w:val="22"/>
          <w:lang w:val="eu-ES"/>
        </w:rPr>
        <w:t>ari</w:t>
      </w:r>
      <w:r w:rsidR="00127F6C" w:rsidRPr="00127F6C">
        <w:rPr>
          <w:i/>
          <w:iCs/>
          <w:sz w:val="22"/>
          <w:szCs w:val="22"/>
          <w:lang w:val="eu-ES"/>
        </w:rPr>
        <w:t xml:space="preserve"> eta erosketei </w:t>
      </w:r>
      <w:r w:rsidR="00A155AB">
        <w:rPr>
          <w:i/>
          <w:iCs/>
          <w:sz w:val="22"/>
          <w:szCs w:val="22"/>
          <w:lang w:val="eu-ES"/>
        </w:rPr>
        <w:t xml:space="preserve">buruzko lan prozesuen </w:t>
      </w:r>
      <w:proofErr w:type="spellStart"/>
      <w:r w:rsidR="00A155AB">
        <w:rPr>
          <w:i/>
          <w:iCs/>
          <w:sz w:val="22"/>
          <w:szCs w:val="22"/>
          <w:lang w:val="eu-ES"/>
        </w:rPr>
        <w:t>birdiseinu</w:t>
      </w:r>
      <w:proofErr w:type="spellEnd"/>
      <w:r w:rsidR="00A155AB">
        <w:rPr>
          <w:i/>
          <w:iCs/>
          <w:sz w:val="22"/>
          <w:szCs w:val="22"/>
          <w:lang w:val="eu-ES"/>
        </w:rPr>
        <w:t xml:space="preserve"> eta dokumentazioari dagokionez”. </w:t>
      </w:r>
      <w:r w:rsidR="00A155AB" w:rsidRPr="00A155AB">
        <w:rPr>
          <w:i/>
          <w:iCs/>
          <w:sz w:val="22"/>
          <w:szCs w:val="22"/>
          <w:lang w:val="eu-ES"/>
        </w:rPr>
        <w:t>2023ko apirilaren 13ko 1575 ebazpenaren bidez, eskaera hori onartu zen, eta eskatutako informazioa bidaltzea erabaki zen. Hala ere, informazio hori ez zait osorik bidali, ez baitira bertan sartu eskatutako txostenaren parte diren eranskin hauek:</w:t>
      </w:r>
      <w:r w:rsidR="000146A5" w:rsidRPr="000146A5">
        <w:t xml:space="preserve"> </w:t>
      </w:r>
      <w:r w:rsidR="000146A5" w:rsidRPr="000146A5">
        <w:rPr>
          <w:i/>
          <w:iCs/>
          <w:sz w:val="22"/>
          <w:szCs w:val="22"/>
          <w:lang w:val="eu-ES"/>
        </w:rPr>
        <w:t>13.1. I. eranskina – Lanpostuen zereginen fitxak</w:t>
      </w:r>
      <w:r w:rsidR="000146A5">
        <w:rPr>
          <w:i/>
          <w:iCs/>
          <w:sz w:val="22"/>
          <w:szCs w:val="22"/>
          <w:lang w:val="eu-ES"/>
        </w:rPr>
        <w:t xml:space="preserve">, </w:t>
      </w:r>
      <w:r w:rsidR="000146A5" w:rsidRPr="000146A5">
        <w:rPr>
          <w:i/>
          <w:iCs/>
          <w:sz w:val="22"/>
          <w:szCs w:val="22"/>
          <w:lang w:val="eu-ES"/>
        </w:rPr>
        <w:t>13.2. II. eranskina – Zereginak lanpostuaren arabera eta horien ordu banaketa</w:t>
      </w:r>
      <w:r w:rsidR="000146A5">
        <w:rPr>
          <w:i/>
          <w:iCs/>
          <w:sz w:val="22"/>
          <w:szCs w:val="22"/>
          <w:lang w:val="eu-ES"/>
        </w:rPr>
        <w:t xml:space="preserve">, </w:t>
      </w:r>
      <w:r w:rsidR="000146A5" w:rsidRPr="000146A5">
        <w:rPr>
          <w:i/>
          <w:iCs/>
          <w:sz w:val="22"/>
          <w:szCs w:val="22"/>
          <w:lang w:val="eu-ES"/>
        </w:rPr>
        <w:t>13.3. III. eranskina – Antolamendu hobekuntzak</w:t>
      </w:r>
      <w:r w:rsidR="000146A5">
        <w:rPr>
          <w:i/>
          <w:iCs/>
          <w:sz w:val="22"/>
          <w:szCs w:val="22"/>
          <w:lang w:val="eu-ES"/>
        </w:rPr>
        <w:t xml:space="preserve">, </w:t>
      </w:r>
      <w:r w:rsidR="000146A5" w:rsidRPr="000146A5">
        <w:rPr>
          <w:i/>
          <w:iCs/>
          <w:sz w:val="22"/>
          <w:szCs w:val="22"/>
          <w:lang w:val="eu-ES"/>
        </w:rPr>
        <w:t>13.4. IV. eranskina – Prozeduren eta zerbitzuen katalogoa</w:t>
      </w:r>
      <w:r w:rsidR="000146A5">
        <w:rPr>
          <w:i/>
          <w:iCs/>
          <w:sz w:val="22"/>
          <w:szCs w:val="22"/>
          <w:lang w:val="eu-ES"/>
        </w:rPr>
        <w:t xml:space="preserve">, </w:t>
      </w:r>
      <w:r w:rsidR="000146A5" w:rsidRPr="000146A5">
        <w:rPr>
          <w:i/>
          <w:iCs/>
          <w:sz w:val="22"/>
          <w:szCs w:val="22"/>
          <w:lang w:val="eu-ES"/>
        </w:rPr>
        <w:t xml:space="preserve">13.5. V. eranskina – IT </w:t>
      </w:r>
      <w:proofErr w:type="spellStart"/>
      <w:r w:rsidR="000146A5" w:rsidRPr="000146A5">
        <w:rPr>
          <w:i/>
          <w:iCs/>
          <w:sz w:val="22"/>
          <w:szCs w:val="22"/>
          <w:lang w:val="eu-ES"/>
        </w:rPr>
        <w:t>ekosistema_Aplikazioen</w:t>
      </w:r>
      <w:proofErr w:type="spellEnd"/>
      <w:r w:rsidR="000146A5" w:rsidRPr="000146A5">
        <w:rPr>
          <w:i/>
          <w:iCs/>
          <w:sz w:val="22"/>
          <w:szCs w:val="22"/>
          <w:lang w:val="eu-ES"/>
        </w:rPr>
        <w:t xml:space="preserve"> zerrenda</w:t>
      </w:r>
      <w:r w:rsidR="000146A5">
        <w:rPr>
          <w:i/>
          <w:iCs/>
          <w:sz w:val="22"/>
          <w:szCs w:val="22"/>
          <w:lang w:val="eu-ES"/>
        </w:rPr>
        <w:t xml:space="preserve">, </w:t>
      </w:r>
      <w:r w:rsidR="000146A5" w:rsidRPr="000146A5">
        <w:rPr>
          <w:i/>
          <w:iCs/>
          <w:sz w:val="22"/>
          <w:szCs w:val="22"/>
          <w:lang w:val="eu-ES"/>
        </w:rPr>
        <w:t>13.6. VI. eranskina – Arabako Suhiltzaileak: ondorioak</w:t>
      </w:r>
      <w:r w:rsidR="000146A5">
        <w:rPr>
          <w:i/>
          <w:iCs/>
          <w:sz w:val="22"/>
          <w:szCs w:val="22"/>
          <w:lang w:val="eu-ES"/>
        </w:rPr>
        <w:t xml:space="preserve">. </w:t>
      </w:r>
      <w:r w:rsidR="000146A5" w:rsidRPr="000146A5">
        <w:rPr>
          <w:i/>
          <w:iCs/>
          <w:sz w:val="22"/>
          <w:szCs w:val="22"/>
          <w:lang w:val="eu-ES"/>
        </w:rPr>
        <w:t>Horregatik, idazki honen bidez, eranskin horiek niri bidaltzeko eskatzen d</w:t>
      </w:r>
      <w:r w:rsidR="000146A5">
        <w:rPr>
          <w:i/>
          <w:iCs/>
          <w:sz w:val="22"/>
          <w:szCs w:val="22"/>
          <w:lang w:val="eu-ES"/>
        </w:rPr>
        <w:t>ut</w:t>
      </w:r>
      <w:r w:rsidR="000146A5" w:rsidRPr="000146A5">
        <w:rPr>
          <w:i/>
          <w:iCs/>
          <w:sz w:val="22"/>
          <w:szCs w:val="22"/>
          <w:lang w:val="eu-ES"/>
        </w:rPr>
        <w:t xml:space="preserve"> ".</w:t>
      </w:r>
    </w:p>
    <w:p w14:paraId="3CD6C2A8" w14:textId="0FE8A56D" w:rsidR="006D2BF2" w:rsidRDefault="006D2BF2" w:rsidP="00335F35">
      <w:pPr>
        <w:pStyle w:val="Normal0"/>
        <w:spacing w:after="240"/>
        <w:jc w:val="both"/>
        <w:rPr>
          <w:sz w:val="22"/>
          <w:szCs w:val="22"/>
          <w:lang w:val="eu-ES"/>
        </w:rPr>
      </w:pPr>
      <w:r w:rsidRPr="006D2BF2">
        <w:rPr>
          <w:sz w:val="22"/>
          <w:szCs w:val="22"/>
          <w:lang w:val="eu-ES"/>
        </w:rPr>
        <w:t xml:space="preserve">Aldez aurretik, interesdunak adierazi bezala, 2023ko martxoaren 15ean, </w:t>
      </w:r>
      <w:proofErr w:type="spellStart"/>
      <w:r w:rsidRPr="006D2BF2">
        <w:rPr>
          <w:sz w:val="22"/>
          <w:szCs w:val="22"/>
          <w:highlight w:val="black"/>
          <w:lang w:val="eu-ES"/>
        </w:rPr>
        <w:t>xxxxxxxxxxx</w:t>
      </w:r>
      <w:proofErr w:type="spellEnd"/>
      <w:r w:rsidRPr="006D2BF2">
        <w:rPr>
          <w:sz w:val="22"/>
          <w:szCs w:val="22"/>
          <w:lang w:val="eu-ES"/>
        </w:rPr>
        <w:t xml:space="preserve"> interesdunak berak aurkeztutako informazio publikoa eskuratzeko eskaera sartu zen Arabako Foru Aldundiaren Erregistro Elektroniko Komunean, Gardentasunari, Herritarren Partaidetzari eta Gobernu Onari buruzko otsailaren 8ko 1/2017 Foru Arauaren babesean.</w:t>
      </w:r>
      <w:r>
        <w:rPr>
          <w:sz w:val="22"/>
          <w:szCs w:val="22"/>
          <w:lang w:val="eu-ES"/>
        </w:rPr>
        <w:t xml:space="preserve">  </w:t>
      </w:r>
      <w:r w:rsidRPr="006D2BF2">
        <w:rPr>
          <w:sz w:val="22"/>
          <w:szCs w:val="22"/>
          <w:lang w:val="eu-ES"/>
        </w:rPr>
        <w:t>Eskaera horren bidez, honako hau eskatzen da</w:t>
      </w:r>
      <w:r w:rsidRPr="006D2BF2">
        <w:rPr>
          <w:i/>
          <w:iCs/>
          <w:sz w:val="22"/>
          <w:szCs w:val="22"/>
          <w:lang w:val="eu-ES"/>
        </w:rPr>
        <w:t xml:space="preserve">: "Arabako Lurralde Historikoko sektore publikoaren gardentasunari, herritarren parte-hartzeari eta gobernu onari buruzko otsailaren 8ko 1/2017 Foru Arauan ezarritakoa aplikatuz, </w:t>
      </w:r>
      <w:proofErr w:type="spellStart"/>
      <w:r w:rsidRPr="006D2BF2">
        <w:rPr>
          <w:i/>
          <w:iCs/>
          <w:sz w:val="22"/>
          <w:szCs w:val="22"/>
          <w:lang w:val="eu-ES"/>
        </w:rPr>
        <w:t>Hiberus</w:t>
      </w:r>
      <w:proofErr w:type="spellEnd"/>
      <w:r w:rsidRPr="006D2BF2">
        <w:rPr>
          <w:i/>
          <w:iCs/>
          <w:sz w:val="22"/>
          <w:szCs w:val="22"/>
          <w:lang w:val="eu-ES"/>
        </w:rPr>
        <w:t xml:space="preserve"> IT </w:t>
      </w:r>
      <w:proofErr w:type="spellStart"/>
      <w:r w:rsidRPr="006D2BF2">
        <w:rPr>
          <w:i/>
          <w:iCs/>
          <w:sz w:val="22"/>
          <w:szCs w:val="22"/>
          <w:lang w:val="eu-ES"/>
        </w:rPr>
        <w:t>Developmente</w:t>
      </w:r>
      <w:proofErr w:type="spellEnd"/>
      <w:r w:rsidRPr="006D2BF2">
        <w:rPr>
          <w:i/>
          <w:iCs/>
          <w:sz w:val="22"/>
          <w:szCs w:val="22"/>
          <w:lang w:val="eu-ES"/>
        </w:rPr>
        <w:t xml:space="preserve"> </w:t>
      </w:r>
      <w:proofErr w:type="spellStart"/>
      <w:r w:rsidRPr="006D2BF2">
        <w:rPr>
          <w:i/>
          <w:iCs/>
          <w:sz w:val="22"/>
          <w:szCs w:val="22"/>
          <w:lang w:val="eu-ES"/>
        </w:rPr>
        <w:t>Services</w:t>
      </w:r>
      <w:proofErr w:type="spellEnd"/>
      <w:r w:rsidRPr="006D2BF2">
        <w:rPr>
          <w:i/>
          <w:iCs/>
          <w:sz w:val="22"/>
          <w:szCs w:val="22"/>
          <w:lang w:val="eu-ES"/>
        </w:rPr>
        <w:t>, S.L. enpresak Arabako Foru Suhiltzaileak erakunde autonomoarentzat egindako txostenak, analisiak, azterlanak eta/edo edozein motatako dokumentuak eskatzen dira,</w:t>
      </w:r>
      <w:r w:rsidR="00BD7F95" w:rsidRPr="00BD7F95">
        <w:t xml:space="preserve"> </w:t>
      </w:r>
      <w:r w:rsidR="00BD7F95" w:rsidRPr="00BD7F95">
        <w:rPr>
          <w:i/>
          <w:iCs/>
          <w:sz w:val="22"/>
          <w:szCs w:val="22"/>
          <w:lang w:val="eu-ES"/>
        </w:rPr>
        <w:t>enkargu hau betetzeko:</w:t>
      </w:r>
      <w:r w:rsidR="00BD7F95" w:rsidRPr="00BD7F95">
        <w:t xml:space="preserve"> </w:t>
      </w:r>
      <w:r w:rsidR="00BD7F95" w:rsidRPr="00BD7F95">
        <w:rPr>
          <w:i/>
          <w:iCs/>
          <w:sz w:val="22"/>
          <w:szCs w:val="22"/>
          <w:lang w:val="eu-ES"/>
        </w:rPr>
        <w:t xml:space="preserve">Administrazio-egitura aztertzeko aholkularitza-zerbitzua, Arabako Foru Suhiltzaileak erakunde autonomoko Giza Baliabideen eta Administrazio Kudeaketaren Zerbitzuko bi zerbitzu nagusiei dagokienez (langileak eta erosketak ordezkatzea), lanpostuen eginkizunei eta </w:t>
      </w:r>
      <w:r w:rsidR="00BD7F95">
        <w:rPr>
          <w:i/>
          <w:iCs/>
          <w:sz w:val="22"/>
          <w:szCs w:val="22"/>
          <w:lang w:val="eu-ES"/>
        </w:rPr>
        <w:t>zereginei</w:t>
      </w:r>
      <w:r w:rsidR="00BD7F95" w:rsidRPr="00BD7F95">
        <w:rPr>
          <w:i/>
          <w:iCs/>
          <w:sz w:val="22"/>
          <w:szCs w:val="22"/>
          <w:lang w:val="eu-ES"/>
        </w:rPr>
        <w:t xml:space="preserve">, eta lan-prozesuen </w:t>
      </w:r>
      <w:proofErr w:type="spellStart"/>
      <w:r w:rsidR="00BD7F95" w:rsidRPr="00BD7F95">
        <w:rPr>
          <w:i/>
          <w:iCs/>
          <w:sz w:val="22"/>
          <w:szCs w:val="22"/>
          <w:lang w:val="eu-ES"/>
        </w:rPr>
        <w:t>birdiseinuari</w:t>
      </w:r>
      <w:proofErr w:type="spellEnd"/>
      <w:r w:rsidR="00BD7F95" w:rsidRPr="00BD7F95">
        <w:rPr>
          <w:i/>
          <w:iCs/>
          <w:sz w:val="22"/>
          <w:szCs w:val="22"/>
          <w:lang w:val="eu-ES"/>
        </w:rPr>
        <w:t xml:space="preserve"> eta dokumentazioari dagokienez", </w:t>
      </w:r>
      <w:r w:rsidR="008772C0" w:rsidRPr="008772C0">
        <w:rPr>
          <w:i/>
          <w:iCs/>
          <w:sz w:val="22"/>
          <w:szCs w:val="22"/>
          <w:lang w:val="eu-ES"/>
        </w:rPr>
        <w:t>Argitu</w:t>
      </w:r>
      <w:r w:rsidR="00335F35">
        <w:rPr>
          <w:i/>
          <w:iCs/>
          <w:sz w:val="22"/>
          <w:szCs w:val="22"/>
          <w:lang w:val="eu-ES"/>
        </w:rPr>
        <w:t xml:space="preserve"> behar</w:t>
      </w:r>
      <w:r w:rsidR="008772C0" w:rsidRPr="008772C0">
        <w:rPr>
          <w:i/>
          <w:iCs/>
          <w:sz w:val="22"/>
          <w:szCs w:val="22"/>
          <w:lang w:val="eu-ES"/>
        </w:rPr>
        <w:t xml:space="preserve"> da eskatutako informazio</w:t>
      </w:r>
      <w:r w:rsidR="00335F35">
        <w:rPr>
          <w:i/>
          <w:iCs/>
          <w:sz w:val="22"/>
          <w:szCs w:val="22"/>
          <w:lang w:val="eu-ES"/>
        </w:rPr>
        <w:t xml:space="preserve">a </w:t>
      </w:r>
      <w:r w:rsidR="008772C0" w:rsidRPr="008772C0">
        <w:rPr>
          <w:i/>
          <w:iCs/>
          <w:sz w:val="22"/>
          <w:szCs w:val="22"/>
          <w:lang w:val="eu-ES"/>
        </w:rPr>
        <w:t xml:space="preserve"> gaur egungoaren desberdina dela, merkataritza-sozietate berari buruzkoa</w:t>
      </w:r>
      <w:r w:rsidR="008772C0" w:rsidRPr="00335F35">
        <w:rPr>
          <w:sz w:val="22"/>
          <w:szCs w:val="22"/>
          <w:lang w:val="eu-ES"/>
        </w:rPr>
        <w:t>"</w:t>
      </w:r>
      <w:r w:rsidR="00335F35" w:rsidRPr="00335F35">
        <w:rPr>
          <w:sz w:val="22"/>
          <w:szCs w:val="22"/>
          <w:lang w:val="eu-ES"/>
        </w:rPr>
        <w:t xml:space="preserve">. Izan ere </w:t>
      </w:r>
      <w:r w:rsidR="00335F35" w:rsidRPr="00335F35">
        <w:rPr>
          <w:sz w:val="22"/>
          <w:szCs w:val="22"/>
          <w:lang w:val="eu-ES"/>
        </w:rPr>
        <w:t xml:space="preserve">aldeko ebazpena eman zen 2023ko apirilaren 13ko Ebazpenaren bidez. Eta lehenago, 2023ko otsailaren 15ean, </w:t>
      </w:r>
      <w:proofErr w:type="spellStart"/>
      <w:r w:rsidR="00335F35" w:rsidRPr="00335F35">
        <w:rPr>
          <w:sz w:val="22"/>
          <w:szCs w:val="22"/>
          <w:highlight w:val="black"/>
          <w:lang w:val="eu-ES"/>
        </w:rPr>
        <w:t>xxxxxxxxxxx</w:t>
      </w:r>
      <w:proofErr w:type="spellEnd"/>
      <w:r w:rsidR="00335F35" w:rsidRPr="00335F35">
        <w:rPr>
          <w:sz w:val="22"/>
          <w:szCs w:val="22"/>
          <w:lang w:val="eu-ES"/>
        </w:rPr>
        <w:t xml:space="preserve"> jaunak/andreak informazio publikoa eskuratzeko aurkeztutako eskaera sartu zen Arabako Foru </w:t>
      </w:r>
      <w:r w:rsidR="00335F35" w:rsidRPr="00335F35">
        <w:rPr>
          <w:sz w:val="22"/>
          <w:szCs w:val="22"/>
          <w:lang w:val="eu-ES"/>
        </w:rPr>
        <w:lastRenderedPageBreak/>
        <w:t xml:space="preserve">Aldundian, Gardentasunari, Herritarren Partaidetzari eta Gobernu Onari buruzko otsailaren 8ko 1/2017 Foru Arauaren babesean. Eskaera horretan "Arabako Suhiltzaileak erakunde autonomoan egindako prozesuak aztertzeko kontratuari dagokionez </w:t>
      </w:r>
      <w:proofErr w:type="spellStart"/>
      <w:r w:rsidR="00335F35" w:rsidRPr="00335F35">
        <w:rPr>
          <w:sz w:val="22"/>
          <w:szCs w:val="22"/>
          <w:lang w:val="eu-ES"/>
        </w:rPr>
        <w:t>Hiberus</w:t>
      </w:r>
      <w:proofErr w:type="spellEnd"/>
      <w:r w:rsidR="00335F35" w:rsidRPr="00335F35">
        <w:rPr>
          <w:sz w:val="22"/>
          <w:szCs w:val="22"/>
          <w:lang w:val="eu-ES"/>
        </w:rPr>
        <w:t xml:space="preserve"> enpresak egindako dokumentuak, ondorioak, gomendioak eta abar" eskatzen dira. "aldeko ebazpena eman zen 2023ko martxoaren 14ko Ebazpenaren bidez.</w:t>
      </w:r>
    </w:p>
    <w:p w14:paraId="6B1F0696" w14:textId="08D13C28" w:rsidR="00335F35" w:rsidRDefault="00335F35" w:rsidP="00335F35">
      <w:pPr>
        <w:pStyle w:val="Normal0"/>
        <w:spacing w:after="240"/>
        <w:jc w:val="both"/>
        <w:rPr>
          <w:sz w:val="22"/>
          <w:szCs w:val="22"/>
          <w:lang w:val="eu-ES"/>
        </w:rPr>
      </w:pPr>
      <w:r w:rsidRPr="00335F35">
        <w:rPr>
          <w:sz w:val="22"/>
          <w:szCs w:val="22"/>
          <w:lang w:val="eu-ES"/>
        </w:rPr>
        <w:t>Eskaera guztiak Gardentasunari, Herritarren Partaidetzari eta Gobernu Onari buruzko otsailaren 8ko 1/2017 Foru Arauan oinarritzen dira, eta argitzen dute, interesdunaren aurka hasitako zehapen-prozedura batean interesduna denez, ez zaizkiola aplikatzen haren 31.b) artikuluan jasotako mugak, ez-zilegi penalen edo arau-hauste administratiboen prebentzioari, ikerketari eta zehapenari buruzkoak.</w:t>
      </w:r>
    </w:p>
    <w:p w14:paraId="5DFD87D2" w14:textId="233387E9" w:rsidR="00335F35" w:rsidRDefault="00335F35" w:rsidP="00335F35">
      <w:pPr>
        <w:pStyle w:val="Normal0"/>
        <w:spacing w:after="240"/>
        <w:jc w:val="both"/>
        <w:rPr>
          <w:sz w:val="22"/>
          <w:szCs w:val="22"/>
          <w:lang w:val="eu-ES"/>
        </w:rPr>
      </w:pPr>
      <w:r w:rsidRPr="00335F35">
        <w:rPr>
          <w:sz w:val="22"/>
          <w:szCs w:val="22"/>
          <w:lang w:val="eu-ES"/>
        </w:rPr>
        <w:t>Hirugarren eskaera horren aurrean, eta eskatutako dokumentazioak datu pertsonalak dituenez, lehen aipatutako eskaeretan jasotzen ez zirenak, txostena eskatu zaio erakunde autonomoko datu pertsonalen ordezkariari, eta hark txostena egin du. Txosten horren eduki osoa transkribatzen da:</w:t>
      </w:r>
    </w:p>
    <w:p w14:paraId="19C1EECE" w14:textId="77777777" w:rsidR="00A47D11" w:rsidRPr="00A47D11" w:rsidRDefault="00A47D11" w:rsidP="00A47D11">
      <w:pPr>
        <w:pStyle w:val="Normal0"/>
        <w:spacing w:after="240"/>
        <w:jc w:val="both"/>
        <w:rPr>
          <w:i/>
          <w:iCs/>
          <w:sz w:val="22"/>
          <w:szCs w:val="22"/>
          <w:lang w:val="eu-ES"/>
        </w:rPr>
      </w:pPr>
      <w:r w:rsidRPr="00A47D11">
        <w:rPr>
          <w:i/>
          <w:iCs/>
          <w:sz w:val="22"/>
          <w:szCs w:val="22"/>
          <w:lang w:val="eu-ES"/>
        </w:rPr>
        <w:t>"Txosten honen helburu orokorra da erakustea gaur egun EZINEZKOA dela eskatzaileari eskatutako informazioa ematea, datuen babesaren arloan indarrean dagoen araudiarekin talka egiten baitu.</w:t>
      </w:r>
    </w:p>
    <w:p w14:paraId="3FF30D68" w14:textId="603D4F7B" w:rsidR="00A47D11" w:rsidRDefault="00A47D11" w:rsidP="00A47D11">
      <w:pPr>
        <w:pStyle w:val="Normal0"/>
        <w:spacing w:after="240"/>
        <w:jc w:val="both"/>
        <w:rPr>
          <w:i/>
          <w:iCs/>
          <w:sz w:val="22"/>
          <w:szCs w:val="22"/>
          <w:lang w:val="eu-ES"/>
        </w:rPr>
      </w:pPr>
      <w:r w:rsidRPr="00A47D11">
        <w:rPr>
          <w:i/>
          <w:iCs/>
          <w:sz w:val="22"/>
          <w:szCs w:val="22"/>
          <w:lang w:val="eu-ES"/>
        </w:rPr>
        <w:t>Pertsonak gardentasunaren aldeko informazioa eskatzen du, eta honako eskaera hau egiten du:</w:t>
      </w:r>
    </w:p>
    <w:p w14:paraId="2B1F09B0" w14:textId="153095D9" w:rsidR="00A47D11" w:rsidRDefault="00A47D11" w:rsidP="00A47D11">
      <w:pPr>
        <w:pStyle w:val="Normal0"/>
        <w:spacing w:after="240"/>
        <w:jc w:val="both"/>
        <w:rPr>
          <w:i/>
          <w:iCs/>
          <w:sz w:val="22"/>
          <w:szCs w:val="22"/>
          <w:lang w:val="eu-ES"/>
        </w:rPr>
      </w:pPr>
      <w:proofErr w:type="spellStart"/>
      <w:r w:rsidRPr="00A47D11">
        <w:rPr>
          <w:i/>
          <w:iCs/>
          <w:sz w:val="22"/>
          <w:szCs w:val="22"/>
          <w:lang w:val="eu-ES"/>
        </w:rPr>
        <w:t>Hiberus</w:t>
      </w:r>
      <w:proofErr w:type="spellEnd"/>
      <w:r w:rsidRPr="00A47D11">
        <w:rPr>
          <w:i/>
          <w:iCs/>
          <w:sz w:val="22"/>
          <w:szCs w:val="22"/>
          <w:lang w:val="eu-ES"/>
        </w:rPr>
        <w:t xml:space="preserve"> </w:t>
      </w:r>
      <w:r>
        <w:rPr>
          <w:i/>
          <w:iCs/>
          <w:sz w:val="22"/>
          <w:szCs w:val="22"/>
          <w:lang w:val="eu-ES"/>
        </w:rPr>
        <w:t>enpresak</w:t>
      </w:r>
      <w:r w:rsidRPr="00A47D11">
        <w:rPr>
          <w:i/>
          <w:iCs/>
          <w:sz w:val="22"/>
          <w:szCs w:val="22"/>
          <w:lang w:val="eu-ES"/>
        </w:rPr>
        <w:t xml:space="preserve"> erakunde autonomiadunarentzat </w:t>
      </w:r>
      <w:r>
        <w:rPr>
          <w:i/>
          <w:iCs/>
          <w:sz w:val="22"/>
          <w:szCs w:val="22"/>
          <w:lang w:val="eu-ES"/>
        </w:rPr>
        <w:t xml:space="preserve">enkargua betetzeko </w:t>
      </w:r>
      <w:r w:rsidRPr="00A47D11">
        <w:rPr>
          <w:i/>
          <w:iCs/>
          <w:sz w:val="22"/>
          <w:szCs w:val="22"/>
          <w:lang w:val="eu-ES"/>
        </w:rPr>
        <w:t xml:space="preserve">egindako </w:t>
      </w:r>
      <w:r w:rsidR="00832A9B">
        <w:rPr>
          <w:i/>
          <w:iCs/>
          <w:sz w:val="22"/>
          <w:szCs w:val="22"/>
          <w:lang w:val="eu-ES"/>
        </w:rPr>
        <w:t>“</w:t>
      </w:r>
      <w:r w:rsidRPr="00A47D11">
        <w:rPr>
          <w:i/>
          <w:iCs/>
          <w:sz w:val="22"/>
          <w:szCs w:val="22"/>
          <w:lang w:val="eu-ES"/>
        </w:rPr>
        <w:t>txostenak, analisiak, azterlanak eta/edo edozein motatako dokumentuak,</w:t>
      </w:r>
      <w:r w:rsidR="00832A9B">
        <w:rPr>
          <w:i/>
          <w:iCs/>
          <w:sz w:val="22"/>
          <w:szCs w:val="22"/>
          <w:lang w:val="eu-ES"/>
        </w:rPr>
        <w:t>-</w:t>
      </w:r>
      <w:r w:rsidRPr="00A47D11">
        <w:rPr>
          <w:i/>
          <w:iCs/>
          <w:sz w:val="22"/>
          <w:szCs w:val="22"/>
          <w:lang w:val="eu-ES"/>
        </w:rPr>
        <w:t xml:space="preserve">Aholkularitza-zerbitzua administrazio-egitura aztertzeko, lanpostuen eginkizunei eta </w:t>
      </w:r>
      <w:r w:rsidR="00832A9B">
        <w:rPr>
          <w:i/>
          <w:iCs/>
          <w:sz w:val="22"/>
          <w:szCs w:val="22"/>
          <w:lang w:val="eu-ES"/>
        </w:rPr>
        <w:t>zereginei</w:t>
      </w:r>
      <w:r w:rsidRPr="00A47D11">
        <w:rPr>
          <w:i/>
          <w:iCs/>
          <w:sz w:val="22"/>
          <w:szCs w:val="22"/>
          <w:lang w:val="eu-ES"/>
        </w:rPr>
        <w:t xml:space="preserve"> dagokienez, eta lan-prozesuen </w:t>
      </w:r>
      <w:proofErr w:type="spellStart"/>
      <w:r w:rsidRPr="00A47D11">
        <w:rPr>
          <w:i/>
          <w:iCs/>
          <w:sz w:val="22"/>
          <w:szCs w:val="22"/>
          <w:lang w:val="eu-ES"/>
        </w:rPr>
        <w:t>birdiseinu</w:t>
      </w:r>
      <w:proofErr w:type="spellEnd"/>
      <w:r w:rsidRPr="00A47D11">
        <w:rPr>
          <w:i/>
          <w:iCs/>
          <w:sz w:val="22"/>
          <w:szCs w:val="22"/>
          <w:lang w:val="eu-ES"/>
        </w:rPr>
        <w:t xml:space="preserve"> eta dokumentazioari dagokionez, erakunde autonomoaren Giza Baliabideen eta Administrazio Kudeaketaren zerbitzuan gauzatzen diren 2 lan nagusiei dagokienez (langileak eta erosketak ordezkatzea)".</w:t>
      </w:r>
    </w:p>
    <w:p w14:paraId="0AC9A0C4" w14:textId="7B9432E6" w:rsidR="00A47D11" w:rsidRDefault="00832A9B" w:rsidP="00832A9B">
      <w:pPr>
        <w:pStyle w:val="Normal0"/>
        <w:spacing w:after="240"/>
        <w:jc w:val="both"/>
        <w:rPr>
          <w:i/>
          <w:iCs/>
          <w:sz w:val="22"/>
          <w:szCs w:val="22"/>
          <w:lang w:val="eu-ES"/>
        </w:rPr>
      </w:pPr>
      <w:r w:rsidRPr="00832A9B">
        <w:rPr>
          <w:i/>
          <w:iCs/>
          <w:sz w:val="22"/>
          <w:szCs w:val="22"/>
          <w:lang w:val="eu-ES"/>
        </w:rPr>
        <w:t>Enpresa horren lanari dagokionez, ondoko eranskinak daude:</w:t>
      </w:r>
    </w:p>
    <w:p w14:paraId="7F718A00" w14:textId="0ECE0F85" w:rsidR="00832A9B" w:rsidRPr="00832A9B" w:rsidRDefault="00832A9B" w:rsidP="00832A9B">
      <w:pPr>
        <w:pStyle w:val="Normal0"/>
        <w:spacing w:before="100" w:after="100" w:line="276" w:lineRule="auto"/>
        <w:jc w:val="both"/>
        <w:rPr>
          <w:rFonts w:ascii="Calibri" w:eastAsia="Calibri" w:hAnsi="Calibri"/>
          <w:i/>
          <w:iCs/>
          <w:lang w:val="eu-ES" w:eastAsia="en-US"/>
        </w:rPr>
      </w:pPr>
      <w:r w:rsidRPr="00832A9B">
        <w:rPr>
          <w:rFonts w:ascii="Calibri" w:eastAsia="Calibri" w:hAnsi="Calibri"/>
          <w:i/>
          <w:iCs/>
          <w:lang w:val="eu-ES" w:eastAsia="en-US"/>
        </w:rPr>
        <w:t>1. "</w:t>
      </w:r>
      <w:r>
        <w:rPr>
          <w:rFonts w:ascii="Calibri" w:eastAsia="Calibri" w:hAnsi="Calibri"/>
          <w:i/>
          <w:iCs/>
          <w:lang w:val="eu-ES" w:eastAsia="en-US"/>
        </w:rPr>
        <w:t>Entregatzeko analisiak</w:t>
      </w:r>
      <w:r w:rsidRPr="00832A9B">
        <w:rPr>
          <w:rFonts w:ascii="Calibri" w:eastAsia="Calibri" w:hAnsi="Calibri"/>
          <w:i/>
          <w:iCs/>
          <w:lang w:val="eu-ES" w:eastAsia="en-US"/>
        </w:rPr>
        <w:t>".</w:t>
      </w:r>
    </w:p>
    <w:p w14:paraId="14DC46DA" w14:textId="4C1280F7" w:rsidR="00832A9B" w:rsidRPr="00832A9B" w:rsidRDefault="00832A9B" w:rsidP="00832A9B">
      <w:pPr>
        <w:pStyle w:val="Normal0"/>
        <w:spacing w:before="100" w:after="100" w:line="276" w:lineRule="auto"/>
        <w:jc w:val="both"/>
        <w:rPr>
          <w:rFonts w:ascii="Calibri" w:eastAsia="Calibri" w:hAnsi="Calibri"/>
          <w:i/>
          <w:iCs/>
          <w:lang w:val="eu-ES" w:eastAsia="en-US"/>
        </w:rPr>
      </w:pPr>
      <w:r>
        <w:rPr>
          <w:rFonts w:ascii="Calibri" w:eastAsia="Calibri" w:hAnsi="Calibri"/>
          <w:i/>
          <w:iCs/>
          <w:lang w:val="eu-ES" w:eastAsia="en-US"/>
        </w:rPr>
        <w:t>2. “I</w:t>
      </w:r>
      <w:r w:rsidRPr="00832A9B">
        <w:rPr>
          <w:rFonts w:ascii="Calibri" w:eastAsia="Calibri" w:hAnsi="Calibri"/>
          <w:i/>
          <w:iCs/>
          <w:lang w:val="eu-ES" w:eastAsia="en-US"/>
        </w:rPr>
        <w:t>. eranskina</w:t>
      </w:r>
      <w:r>
        <w:rPr>
          <w:rFonts w:ascii="Calibri" w:eastAsia="Calibri" w:hAnsi="Calibri"/>
          <w:i/>
          <w:iCs/>
          <w:lang w:val="eu-ES" w:eastAsia="en-US"/>
        </w:rPr>
        <w:t>”</w:t>
      </w:r>
      <w:r w:rsidRPr="00832A9B">
        <w:rPr>
          <w:rFonts w:ascii="Calibri" w:eastAsia="Calibri" w:hAnsi="Calibri"/>
          <w:i/>
          <w:iCs/>
          <w:lang w:val="eu-ES" w:eastAsia="en-US"/>
        </w:rPr>
        <w:t xml:space="preserve"> –</w:t>
      </w:r>
      <w:r w:rsidR="0061482A">
        <w:rPr>
          <w:rFonts w:ascii="Calibri" w:eastAsia="Calibri" w:hAnsi="Calibri"/>
          <w:i/>
          <w:iCs/>
          <w:lang w:val="eu-ES" w:eastAsia="en-US"/>
        </w:rPr>
        <w:t xml:space="preserve"> </w:t>
      </w:r>
      <w:r>
        <w:rPr>
          <w:rFonts w:ascii="Calibri" w:eastAsia="Calibri" w:hAnsi="Calibri"/>
          <w:i/>
          <w:iCs/>
          <w:lang w:val="eu-ES" w:eastAsia="en-US"/>
        </w:rPr>
        <w:t>lanpostuen araberako zereginen  fitxak</w:t>
      </w:r>
    </w:p>
    <w:p w14:paraId="7102F67B" w14:textId="54217BB9" w:rsidR="00832A9B" w:rsidRPr="00832A9B" w:rsidRDefault="00832A9B" w:rsidP="00832A9B">
      <w:pPr>
        <w:pStyle w:val="Normal0"/>
        <w:spacing w:before="100" w:after="100" w:line="276" w:lineRule="auto"/>
        <w:jc w:val="both"/>
        <w:rPr>
          <w:rFonts w:ascii="Calibri" w:eastAsia="Calibri" w:hAnsi="Calibri"/>
          <w:i/>
          <w:iCs/>
          <w:lang w:val="eu-ES" w:eastAsia="en-US"/>
        </w:rPr>
      </w:pPr>
      <w:r>
        <w:rPr>
          <w:rFonts w:ascii="Calibri" w:eastAsia="Calibri" w:hAnsi="Calibri"/>
          <w:i/>
          <w:iCs/>
          <w:lang w:val="eu-ES" w:eastAsia="en-US"/>
        </w:rPr>
        <w:t>3.“</w:t>
      </w:r>
      <w:r w:rsidRPr="00832A9B">
        <w:rPr>
          <w:rFonts w:ascii="Calibri" w:eastAsia="Calibri" w:hAnsi="Calibri"/>
          <w:i/>
          <w:iCs/>
          <w:lang w:val="eu-ES" w:eastAsia="en-US"/>
        </w:rPr>
        <w:t>II. eranskina</w:t>
      </w:r>
      <w:r>
        <w:rPr>
          <w:rFonts w:ascii="Calibri" w:eastAsia="Calibri" w:hAnsi="Calibri"/>
          <w:i/>
          <w:iCs/>
          <w:lang w:val="eu-ES" w:eastAsia="en-US"/>
        </w:rPr>
        <w:t>”</w:t>
      </w:r>
      <w:r w:rsidRPr="00832A9B">
        <w:rPr>
          <w:rFonts w:ascii="Calibri" w:eastAsia="Calibri" w:hAnsi="Calibri"/>
          <w:i/>
          <w:iCs/>
          <w:lang w:val="eu-ES" w:eastAsia="en-US"/>
        </w:rPr>
        <w:t xml:space="preserve"> – Zereginak lanpostuaren arabera </w:t>
      </w:r>
    </w:p>
    <w:p w14:paraId="146BF763" w14:textId="450B48FB" w:rsidR="00832A9B" w:rsidRPr="00832A9B" w:rsidRDefault="00832A9B" w:rsidP="00832A9B">
      <w:pPr>
        <w:pStyle w:val="Normal0"/>
        <w:spacing w:before="100" w:after="100" w:line="276" w:lineRule="auto"/>
        <w:jc w:val="both"/>
        <w:rPr>
          <w:rFonts w:ascii="Calibri" w:eastAsia="Calibri" w:hAnsi="Calibri"/>
          <w:i/>
          <w:iCs/>
          <w:lang w:val="eu-ES" w:eastAsia="en-US"/>
        </w:rPr>
      </w:pPr>
      <w:r>
        <w:rPr>
          <w:rFonts w:ascii="Calibri" w:eastAsia="Calibri" w:hAnsi="Calibri"/>
          <w:i/>
          <w:iCs/>
          <w:lang w:val="eu-ES" w:eastAsia="en-US"/>
        </w:rPr>
        <w:t>4. “</w:t>
      </w:r>
      <w:r w:rsidRPr="00832A9B">
        <w:rPr>
          <w:rFonts w:ascii="Calibri" w:eastAsia="Calibri" w:hAnsi="Calibri"/>
          <w:i/>
          <w:iCs/>
          <w:lang w:val="eu-ES" w:eastAsia="en-US"/>
        </w:rPr>
        <w:t xml:space="preserve"> III. eranskina</w:t>
      </w:r>
      <w:r>
        <w:rPr>
          <w:rFonts w:ascii="Calibri" w:eastAsia="Calibri" w:hAnsi="Calibri"/>
          <w:i/>
          <w:iCs/>
          <w:lang w:val="eu-ES" w:eastAsia="en-US"/>
        </w:rPr>
        <w:t>”</w:t>
      </w:r>
      <w:r w:rsidRPr="00832A9B">
        <w:rPr>
          <w:rFonts w:ascii="Calibri" w:eastAsia="Calibri" w:hAnsi="Calibri"/>
          <w:i/>
          <w:iCs/>
          <w:lang w:val="eu-ES" w:eastAsia="en-US"/>
        </w:rPr>
        <w:t xml:space="preserve"> – Antolamendu hobekuntzak</w:t>
      </w:r>
    </w:p>
    <w:p w14:paraId="144375D1" w14:textId="6E8ADBF6" w:rsidR="00832A9B" w:rsidRPr="00832A9B" w:rsidRDefault="00832A9B" w:rsidP="00832A9B">
      <w:pPr>
        <w:pStyle w:val="Normal0"/>
        <w:spacing w:before="100" w:after="100" w:line="276" w:lineRule="auto"/>
        <w:jc w:val="both"/>
        <w:rPr>
          <w:rFonts w:ascii="Calibri" w:eastAsia="Calibri" w:hAnsi="Calibri"/>
          <w:i/>
          <w:iCs/>
          <w:lang w:val="eu-ES" w:eastAsia="en-US"/>
        </w:rPr>
      </w:pPr>
      <w:r>
        <w:rPr>
          <w:rFonts w:ascii="Calibri" w:eastAsia="Calibri" w:hAnsi="Calibri"/>
          <w:i/>
          <w:iCs/>
          <w:lang w:val="eu-ES" w:eastAsia="en-US"/>
        </w:rPr>
        <w:t>5.”</w:t>
      </w:r>
      <w:r w:rsidRPr="00832A9B">
        <w:rPr>
          <w:rFonts w:ascii="Calibri" w:eastAsia="Calibri" w:hAnsi="Calibri"/>
          <w:i/>
          <w:iCs/>
          <w:lang w:val="eu-ES" w:eastAsia="en-US"/>
        </w:rPr>
        <w:t xml:space="preserve"> IV. eranskina</w:t>
      </w:r>
      <w:r>
        <w:rPr>
          <w:rFonts w:ascii="Calibri" w:eastAsia="Calibri" w:hAnsi="Calibri"/>
          <w:i/>
          <w:iCs/>
          <w:lang w:val="eu-ES" w:eastAsia="en-US"/>
        </w:rPr>
        <w:t>”</w:t>
      </w:r>
      <w:r w:rsidRPr="00832A9B">
        <w:rPr>
          <w:rFonts w:ascii="Calibri" w:eastAsia="Calibri" w:hAnsi="Calibri"/>
          <w:i/>
          <w:iCs/>
          <w:lang w:val="eu-ES" w:eastAsia="en-US"/>
        </w:rPr>
        <w:t xml:space="preserve"> – Prozeduren eta zerbitzuen katalogoa</w:t>
      </w:r>
    </w:p>
    <w:p w14:paraId="05FEBA46" w14:textId="2F63E3A2" w:rsidR="00832A9B" w:rsidRPr="00832A9B" w:rsidRDefault="00832A9B" w:rsidP="00832A9B">
      <w:pPr>
        <w:pStyle w:val="Normal0"/>
        <w:spacing w:before="100" w:after="100" w:line="276" w:lineRule="auto"/>
        <w:jc w:val="both"/>
        <w:rPr>
          <w:rFonts w:ascii="Calibri" w:eastAsia="Calibri" w:hAnsi="Calibri"/>
          <w:i/>
          <w:iCs/>
          <w:lang w:val="eu-ES" w:eastAsia="en-US"/>
        </w:rPr>
      </w:pPr>
      <w:r>
        <w:rPr>
          <w:rFonts w:ascii="Calibri" w:eastAsia="Calibri" w:hAnsi="Calibri"/>
          <w:i/>
          <w:iCs/>
          <w:lang w:val="eu-ES" w:eastAsia="en-US"/>
        </w:rPr>
        <w:t>6.</w:t>
      </w:r>
      <w:r w:rsidRPr="00832A9B">
        <w:rPr>
          <w:rFonts w:ascii="Calibri" w:eastAsia="Calibri" w:hAnsi="Calibri"/>
          <w:i/>
          <w:iCs/>
          <w:lang w:val="eu-ES" w:eastAsia="en-US"/>
        </w:rPr>
        <w:t xml:space="preserve">. </w:t>
      </w:r>
      <w:r>
        <w:rPr>
          <w:rFonts w:ascii="Calibri" w:eastAsia="Calibri" w:hAnsi="Calibri"/>
          <w:i/>
          <w:iCs/>
          <w:lang w:val="eu-ES" w:eastAsia="en-US"/>
        </w:rPr>
        <w:t>“</w:t>
      </w:r>
      <w:r w:rsidRPr="00832A9B">
        <w:rPr>
          <w:rFonts w:ascii="Calibri" w:eastAsia="Calibri" w:hAnsi="Calibri"/>
          <w:i/>
          <w:iCs/>
          <w:lang w:val="eu-ES" w:eastAsia="en-US"/>
        </w:rPr>
        <w:t>V. eranskina</w:t>
      </w:r>
      <w:r>
        <w:rPr>
          <w:rFonts w:ascii="Calibri" w:eastAsia="Calibri" w:hAnsi="Calibri"/>
          <w:i/>
          <w:iCs/>
          <w:lang w:val="eu-ES" w:eastAsia="en-US"/>
        </w:rPr>
        <w:t>”</w:t>
      </w:r>
      <w:r w:rsidRPr="00832A9B">
        <w:rPr>
          <w:rFonts w:ascii="Calibri" w:eastAsia="Calibri" w:hAnsi="Calibri"/>
          <w:i/>
          <w:iCs/>
          <w:lang w:val="eu-ES" w:eastAsia="en-US"/>
        </w:rPr>
        <w:t xml:space="preserve"> – IT ekosistema</w:t>
      </w:r>
    </w:p>
    <w:p w14:paraId="5FAD1B01" w14:textId="0EF1D4C0" w:rsidR="00FA7A72" w:rsidRPr="00FA7A72" w:rsidRDefault="0061482A" w:rsidP="00FA7A72">
      <w:pPr>
        <w:pStyle w:val="Normal0"/>
        <w:spacing w:before="100" w:after="100" w:line="276" w:lineRule="auto"/>
        <w:jc w:val="both"/>
        <w:rPr>
          <w:rFonts w:ascii="Calibri" w:eastAsia="Calibri" w:hAnsi="Calibri"/>
          <w:i/>
          <w:iCs/>
          <w:lang w:val="eu-ES" w:eastAsia="en-US"/>
        </w:rPr>
      </w:pPr>
      <w:r>
        <w:rPr>
          <w:rFonts w:ascii="Calibri" w:eastAsia="Calibri" w:hAnsi="Calibri"/>
          <w:i/>
          <w:iCs/>
          <w:lang w:val="eu-ES" w:eastAsia="en-US"/>
        </w:rPr>
        <w:t>7.”</w:t>
      </w:r>
      <w:r w:rsidR="00832A9B" w:rsidRPr="00832A9B">
        <w:rPr>
          <w:rFonts w:ascii="Calibri" w:eastAsia="Calibri" w:hAnsi="Calibri"/>
          <w:i/>
          <w:iCs/>
          <w:lang w:val="eu-ES" w:eastAsia="en-US"/>
        </w:rPr>
        <w:t xml:space="preserve"> VI. eranskina</w:t>
      </w:r>
      <w:r>
        <w:rPr>
          <w:rFonts w:ascii="Calibri" w:eastAsia="Calibri" w:hAnsi="Calibri"/>
          <w:i/>
          <w:iCs/>
          <w:lang w:val="eu-ES" w:eastAsia="en-US"/>
        </w:rPr>
        <w:t>”</w:t>
      </w:r>
      <w:r w:rsidR="00832A9B" w:rsidRPr="00832A9B">
        <w:rPr>
          <w:rFonts w:ascii="Calibri" w:eastAsia="Calibri" w:hAnsi="Calibri"/>
          <w:i/>
          <w:iCs/>
          <w:lang w:val="eu-ES" w:eastAsia="en-US"/>
        </w:rPr>
        <w:t xml:space="preserve"> –</w:t>
      </w:r>
      <w:r>
        <w:rPr>
          <w:rFonts w:ascii="Calibri" w:eastAsia="Calibri" w:hAnsi="Calibri"/>
          <w:i/>
          <w:iCs/>
          <w:lang w:val="eu-ES" w:eastAsia="en-US"/>
        </w:rPr>
        <w:t xml:space="preserve"> </w:t>
      </w:r>
      <w:r w:rsidR="00832A9B" w:rsidRPr="00832A9B">
        <w:rPr>
          <w:rFonts w:ascii="Calibri" w:eastAsia="Calibri" w:hAnsi="Calibri"/>
          <w:i/>
          <w:iCs/>
          <w:lang w:val="eu-ES" w:eastAsia="en-US"/>
        </w:rPr>
        <w:t>ondorioak</w:t>
      </w:r>
    </w:p>
    <w:p w14:paraId="7E237840" w14:textId="13D03C9D" w:rsidR="00FA7A72" w:rsidRPr="00FA7A72" w:rsidRDefault="00FA7A72" w:rsidP="00FA7A72">
      <w:pPr>
        <w:pStyle w:val="Normal0"/>
        <w:spacing w:before="100" w:after="100" w:line="276" w:lineRule="auto"/>
        <w:jc w:val="both"/>
        <w:rPr>
          <w:rFonts w:ascii="Calibri" w:eastAsia="Calibri" w:hAnsi="Calibri"/>
          <w:i/>
          <w:iCs/>
          <w:lang w:val="eu-ES" w:eastAsia="en-US"/>
        </w:rPr>
      </w:pPr>
      <w:r w:rsidRPr="00FA7A72">
        <w:rPr>
          <w:rFonts w:ascii="Calibri" w:eastAsia="Calibri" w:hAnsi="Calibri"/>
          <w:i/>
          <w:iCs/>
          <w:lang w:val="eu-ES" w:eastAsia="en-US"/>
        </w:rPr>
        <w:t>Eranskin guztiek, 1. dokumentuak izan ezik (eskaerari sobera erantzuten dio), izaera pertsonaleko datuak dituzte, eta datu horiek ezin dira eman datuak babesteko lege organikoaren arabera; izan ere, hirugarrenen datu pertsonaletarako sarbidearekin talka egiten du, Espainiako Konstituzioak 18.1 artikuluan aitortzen duen oinarrizko eskubidea urratuz. Ohorerako, norberaren eta familiaren intimitaterako eta norberaren irudirako eskubidea bermatzen da, eta 18.4 artikuluak, berriz, informatikaren erabilera mugatuko du, herritarren ohorea eta norberaren eta familiaren intimitatea bermatzeko eta herritarren eskubideak erabat baliatzeko.</w:t>
      </w:r>
    </w:p>
    <w:p w14:paraId="3A6E8BC0" w14:textId="31C9245D" w:rsidR="00FA7A72" w:rsidRPr="00FA7A72" w:rsidRDefault="00FA7A72" w:rsidP="00FA7A72">
      <w:pPr>
        <w:pStyle w:val="Normal0"/>
        <w:spacing w:before="100" w:after="100" w:line="276" w:lineRule="auto"/>
        <w:jc w:val="both"/>
        <w:rPr>
          <w:rFonts w:ascii="Calibri" w:eastAsia="Calibri" w:hAnsi="Calibri"/>
          <w:i/>
          <w:iCs/>
          <w:lang w:val="eu-ES" w:eastAsia="en-US"/>
        </w:rPr>
      </w:pPr>
      <w:r w:rsidRPr="00FA7A72">
        <w:rPr>
          <w:rFonts w:ascii="Calibri" w:eastAsia="Calibri" w:hAnsi="Calibri"/>
          <w:i/>
          <w:iCs/>
          <w:lang w:val="eu-ES" w:eastAsia="en-US"/>
        </w:rPr>
        <w:t>Horri erantzuteko, Datu Pertsonalak Babesteari eta Eskubide Digitalak Bermatzeari buruzko abenduaren 5eko 3/2018 Lege Organikoa aplikatu behar da. Lege organiko hori lehentasunezkoa da gardentasunari buruzko beste edozein lege arrunten aurrean, eta gainerako dokumentazioa bidaltzeak datuak babesteari buruzko legeari dagokiona urratzea ekarriko luke.</w:t>
      </w:r>
    </w:p>
    <w:p w14:paraId="63B8E8F1" w14:textId="050AC472" w:rsidR="00F34A9C" w:rsidRDefault="00AF2E23" w:rsidP="00AF2E23">
      <w:pPr>
        <w:pStyle w:val="Normal0"/>
        <w:spacing w:before="100" w:after="100" w:line="276" w:lineRule="auto"/>
        <w:jc w:val="both"/>
        <w:rPr>
          <w:rFonts w:ascii="Calibri" w:eastAsia="Calibri" w:hAnsi="Calibri"/>
          <w:i/>
          <w:iCs/>
          <w:lang w:val="eu-ES" w:eastAsia="en-US"/>
        </w:rPr>
      </w:pPr>
      <w:r w:rsidRPr="00AF2E23">
        <w:rPr>
          <w:rFonts w:ascii="Calibri" w:eastAsia="Calibri" w:hAnsi="Calibri"/>
          <w:i/>
          <w:iCs/>
          <w:lang w:val="eu-ES" w:eastAsia="en-US"/>
        </w:rPr>
        <w:t xml:space="preserve">Era berean, </w:t>
      </w:r>
      <w:proofErr w:type="spellStart"/>
      <w:r w:rsidRPr="00AF2E23">
        <w:rPr>
          <w:rFonts w:ascii="Calibri" w:eastAsia="Calibri" w:hAnsi="Calibri"/>
          <w:i/>
          <w:iCs/>
          <w:lang w:val="eu-ES" w:eastAsia="en-US"/>
        </w:rPr>
        <w:t>DBEOk</w:t>
      </w:r>
      <w:proofErr w:type="spellEnd"/>
      <w:r w:rsidRPr="00AF2E23">
        <w:rPr>
          <w:rFonts w:ascii="Calibri" w:eastAsia="Calibri" w:hAnsi="Calibri"/>
          <w:i/>
          <w:iCs/>
          <w:lang w:val="eu-ES" w:eastAsia="en-US"/>
        </w:rPr>
        <w:t xml:space="preserve"> gardentasunaren eta datu pertsonalen babesaren ikuspegi berri bat berresten du, interesdunen aurreko informazio-betebeharrak eta dagozkien eskubideen katalogoa zabalduz.</w:t>
      </w:r>
    </w:p>
    <w:p w14:paraId="091F0223" w14:textId="5106B52B" w:rsidR="00AF2E23" w:rsidRPr="00393647" w:rsidRDefault="00AF2E23" w:rsidP="00AF2E23">
      <w:pPr>
        <w:pStyle w:val="Normal0"/>
        <w:spacing w:before="100" w:after="100" w:line="276" w:lineRule="auto"/>
        <w:jc w:val="both"/>
        <w:rPr>
          <w:rFonts w:ascii="Calibri" w:eastAsia="Calibri" w:hAnsi="Calibri"/>
          <w:i/>
          <w:iCs/>
          <w:lang w:val="eu-ES" w:eastAsia="en-US"/>
        </w:rPr>
      </w:pPr>
      <w:r w:rsidRPr="00AF2E23">
        <w:rPr>
          <w:rFonts w:ascii="Calibri" w:eastAsia="Calibri" w:hAnsi="Calibri"/>
          <w:i/>
          <w:iCs/>
          <w:lang w:val="eu-ES" w:eastAsia="en-US"/>
        </w:rPr>
        <w:t xml:space="preserve">Segurtasuna </w:t>
      </w:r>
      <w:r>
        <w:rPr>
          <w:rFonts w:ascii="Calibri" w:eastAsia="Calibri" w:hAnsi="Calibri"/>
          <w:i/>
          <w:iCs/>
          <w:lang w:val="eu-ES" w:eastAsia="en-US"/>
        </w:rPr>
        <w:t>erakunde autonomoaren</w:t>
      </w:r>
      <w:r w:rsidRPr="00AF2E23">
        <w:rPr>
          <w:rFonts w:ascii="Calibri" w:eastAsia="Calibri" w:hAnsi="Calibri"/>
          <w:i/>
          <w:iCs/>
          <w:lang w:val="eu-ES" w:eastAsia="en-US"/>
        </w:rPr>
        <w:t xml:space="preserve"> egituraren funtsezko elementua da, eta tratatzen dituen datuen konfidentzialtasuna, osotasuna eta kaltegabetasuna bermatu behar ditu.</w:t>
      </w:r>
    </w:p>
    <w:p w14:paraId="47CD5FE9" w14:textId="0EFD9E6C" w:rsidR="00F34A9C" w:rsidRPr="00393647" w:rsidRDefault="00AF2E23" w:rsidP="00AF2E23">
      <w:pPr>
        <w:pStyle w:val="Normal0"/>
        <w:spacing w:before="100" w:after="100" w:line="276" w:lineRule="auto"/>
        <w:jc w:val="both"/>
        <w:rPr>
          <w:rFonts w:ascii="Calibri" w:eastAsia="Calibri" w:hAnsi="Calibri"/>
          <w:i/>
          <w:iCs/>
          <w:lang w:val="eu-ES" w:eastAsia="en-US"/>
        </w:rPr>
      </w:pPr>
      <w:r w:rsidRPr="00AF2E23">
        <w:rPr>
          <w:rFonts w:ascii="Calibri" w:eastAsia="Calibri" w:hAnsi="Calibri"/>
          <w:i/>
          <w:iCs/>
          <w:lang w:val="eu-ES" w:eastAsia="en-US"/>
        </w:rPr>
        <w:lastRenderedPageBreak/>
        <w:t xml:space="preserve">Europako araudi berriak egungo araubidea aldatzen du, arduradunek kontuan hartu eta beren inguruabarren arabera aplikatu behar dituzten betebehar berriak gehituz, ERANTZUKIZUN PROAKTIBOA edo ACCOUNTABILITY printzipioa une oro </w:t>
      </w:r>
      <w:r>
        <w:rPr>
          <w:rFonts w:ascii="Calibri" w:eastAsia="Calibri" w:hAnsi="Calibri"/>
          <w:i/>
          <w:iCs/>
          <w:lang w:val="eu-ES" w:eastAsia="en-US"/>
        </w:rPr>
        <w:t>gidatzen baitu.</w:t>
      </w:r>
    </w:p>
    <w:p w14:paraId="484841B8" w14:textId="680F19C0" w:rsidR="00F34A9C" w:rsidRPr="00393647" w:rsidRDefault="00AF2E23" w:rsidP="00AF2E23">
      <w:pPr>
        <w:pStyle w:val="Normal0"/>
        <w:spacing w:before="100" w:after="100" w:line="276" w:lineRule="auto"/>
        <w:jc w:val="both"/>
        <w:rPr>
          <w:rFonts w:ascii="Calibri" w:eastAsia="Calibri" w:hAnsi="Calibri"/>
          <w:i/>
          <w:iCs/>
          <w:lang w:val="eu-ES" w:eastAsia="en-US"/>
        </w:rPr>
      </w:pPr>
      <w:r w:rsidRPr="00AF2E23">
        <w:rPr>
          <w:rFonts w:ascii="Calibri" w:eastAsia="Calibri" w:hAnsi="Calibri"/>
          <w:i/>
          <w:iCs/>
          <w:lang w:val="eu-ES" w:eastAsia="en-US"/>
        </w:rPr>
        <w:t xml:space="preserve">Horregatik, eskaeraren beharrak zehatz-mehatz aztertuta, eta arau-esparru berri horri erantzuteko, </w:t>
      </w:r>
      <w:r>
        <w:rPr>
          <w:rFonts w:ascii="Calibri" w:eastAsia="Calibri" w:hAnsi="Calibri"/>
          <w:i/>
          <w:iCs/>
          <w:lang w:val="eu-ES" w:eastAsia="en-US"/>
        </w:rPr>
        <w:t xml:space="preserve">eta, era berean, </w:t>
      </w:r>
      <w:r w:rsidRPr="00AF2E23">
        <w:rPr>
          <w:rFonts w:ascii="Calibri" w:eastAsia="Calibri" w:hAnsi="Calibri"/>
          <w:i/>
          <w:iCs/>
          <w:lang w:val="eu-ES" w:eastAsia="en-US"/>
        </w:rPr>
        <w:t xml:space="preserve">goragoko mailako araudia abiapuntutzat hartuta, </w:t>
      </w:r>
      <w:proofErr w:type="spellStart"/>
      <w:r w:rsidRPr="00AF2E23">
        <w:rPr>
          <w:rFonts w:ascii="Calibri" w:eastAsia="Calibri" w:hAnsi="Calibri"/>
          <w:i/>
          <w:iCs/>
          <w:lang w:val="eu-ES" w:eastAsia="en-US"/>
        </w:rPr>
        <w:t>Hiberus</w:t>
      </w:r>
      <w:proofErr w:type="spellEnd"/>
      <w:r w:rsidRPr="00AF2E23">
        <w:rPr>
          <w:rFonts w:ascii="Calibri" w:eastAsia="Calibri" w:hAnsi="Calibri"/>
          <w:i/>
          <w:iCs/>
          <w:lang w:val="eu-ES" w:eastAsia="en-US"/>
        </w:rPr>
        <w:t xml:space="preserve"> </w:t>
      </w:r>
      <w:r>
        <w:rPr>
          <w:rFonts w:ascii="Calibri" w:eastAsia="Calibri" w:hAnsi="Calibri"/>
          <w:i/>
          <w:iCs/>
          <w:lang w:val="eu-ES" w:eastAsia="en-US"/>
        </w:rPr>
        <w:t>enpresak</w:t>
      </w:r>
      <w:r w:rsidRPr="00AF2E23">
        <w:rPr>
          <w:rFonts w:ascii="Calibri" w:eastAsia="Calibri" w:hAnsi="Calibri"/>
          <w:i/>
          <w:iCs/>
          <w:lang w:val="eu-ES" w:eastAsia="en-US"/>
        </w:rPr>
        <w:t xml:space="preserve"> egindako azterketa </w:t>
      </w:r>
      <w:r>
        <w:rPr>
          <w:rFonts w:ascii="Calibri" w:eastAsia="Calibri" w:hAnsi="Calibri"/>
          <w:i/>
          <w:iCs/>
          <w:lang w:val="eu-ES" w:eastAsia="en-US"/>
        </w:rPr>
        <w:t>eman</w:t>
      </w:r>
      <w:r w:rsidRPr="00AF2E23">
        <w:rPr>
          <w:rFonts w:ascii="Calibri" w:eastAsia="Calibri" w:hAnsi="Calibri"/>
          <w:i/>
          <w:iCs/>
          <w:lang w:val="eu-ES" w:eastAsia="en-US"/>
        </w:rPr>
        <w:t xml:space="preserve"> behar da, eta horrela bermatu behar du </w:t>
      </w:r>
      <w:r>
        <w:rPr>
          <w:rFonts w:ascii="Calibri" w:eastAsia="Calibri" w:hAnsi="Calibri"/>
          <w:i/>
          <w:iCs/>
          <w:lang w:val="eu-ES" w:eastAsia="en-US"/>
        </w:rPr>
        <w:t>erakunde autonomoa</w:t>
      </w:r>
      <w:r w:rsidRPr="00AF2E23">
        <w:rPr>
          <w:rFonts w:ascii="Calibri" w:eastAsia="Calibri" w:hAnsi="Calibri"/>
          <w:i/>
          <w:iCs/>
          <w:lang w:val="eu-ES" w:eastAsia="en-US"/>
        </w:rPr>
        <w:t>k goragoko mailako araua benetan betetzen dela eta erabiltzaileak gardentasunagatik eskura dezakeen ezagutzaren irismena betetzen dela ".</w:t>
      </w:r>
    </w:p>
    <w:p w14:paraId="445AA393" w14:textId="77777777" w:rsidR="006149A2" w:rsidRPr="006149A2" w:rsidRDefault="006149A2" w:rsidP="006149A2">
      <w:pPr>
        <w:pStyle w:val="Normal0"/>
        <w:spacing w:before="100" w:after="100" w:line="276" w:lineRule="auto"/>
        <w:jc w:val="both"/>
        <w:rPr>
          <w:sz w:val="22"/>
          <w:szCs w:val="22"/>
          <w:lang w:val="eu-ES"/>
        </w:rPr>
      </w:pPr>
    </w:p>
    <w:p w14:paraId="7B4C0A0A" w14:textId="3819EC1E" w:rsidR="006149A2" w:rsidRDefault="006149A2" w:rsidP="006149A2">
      <w:pPr>
        <w:pStyle w:val="Normal0"/>
        <w:spacing w:before="100" w:after="100" w:line="276" w:lineRule="auto"/>
        <w:jc w:val="both"/>
        <w:rPr>
          <w:sz w:val="22"/>
          <w:szCs w:val="22"/>
          <w:lang w:val="eu-ES"/>
        </w:rPr>
      </w:pPr>
      <w:r w:rsidRPr="006149A2">
        <w:rPr>
          <w:sz w:val="22"/>
          <w:szCs w:val="22"/>
          <w:lang w:val="eu-ES"/>
        </w:rPr>
        <w:t>Ekainaren 17ko 84/2020 Foru Aginduaren arabera, Lurralde Orekako Zuzendaritzaren titularraren esku uzten da otsailaren 8ko 1/2017 Foru Arauan (Arabako Lurralde Historikoko sektore publikoaren gardentasunari, herritarren parte-hartzeari eta gobernu onari buruzkoa) aurreikusitako informazio publikoa eskuratzeko eskaeren ebazpena</w:t>
      </w:r>
      <w:r>
        <w:rPr>
          <w:sz w:val="22"/>
          <w:szCs w:val="22"/>
          <w:lang w:val="eu-ES"/>
        </w:rPr>
        <w:t>, eta honako hau</w:t>
      </w:r>
    </w:p>
    <w:p w14:paraId="2D949BD4" w14:textId="7EADDA83" w:rsidR="00EB05EC" w:rsidRPr="00393647" w:rsidRDefault="006149A2" w:rsidP="00704500">
      <w:pPr>
        <w:pStyle w:val="Heading10"/>
        <w:spacing w:after="360"/>
        <w:rPr>
          <w:rFonts w:ascii="Times New Roman" w:hAnsi="Times New Roman"/>
          <w:lang w:val="eu-ES"/>
        </w:rPr>
      </w:pPr>
      <w:r>
        <w:rPr>
          <w:rFonts w:ascii="Times New Roman" w:hAnsi="Times New Roman"/>
          <w:lang w:val="eu-ES"/>
        </w:rPr>
        <w:t>EBAZTEN DUT</w:t>
      </w:r>
    </w:p>
    <w:p w14:paraId="01A6BD30" w14:textId="4736F5EA" w:rsidR="00411DF4" w:rsidRDefault="00411DF4" w:rsidP="00411DF4">
      <w:pPr>
        <w:pStyle w:val="Normal0"/>
        <w:spacing w:after="240"/>
        <w:jc w:val="both"/>
        <w:rPr>
          <w:sz w:val="22"/>
          <w:szCs w:val="22"/>
          <w:lang w:val="eu-ES"/>
        </w:rPr>
      </w:pPr>
      <w:r w:rsidRPr="00411DF4">
        <w:rPr>
          <w:sz w:val="22"/>
          <w:szCs w:val="22"/>
          <w:lang w:val="eu-ES"/>
        </w:rPr>
        <w:t xml:space="preserve">Lehenik eta behin, Gardentasunari, informazio publikoa eskuratzeko bideari eta gobernu onari buruzko abenduaren 9ko 19/2013 Legearen 15. artikuluan xedatutakoa aplikatuz, ezestea </w:t>
      </w:r>
      <w:proofErr w:type="spellStart"/>
      <w:r w:rsidRPr="00411DF4">
        <w:rPr>
          <w:sz w:val="22"/>
          <w:szCs w:val="22"/>
          <w:highlight w:val="black"/>
          <w:lang w:val="eu-ES"/>
        </w:rPr>
        <w:t>xxxxxxxxxxx</w:t>
      </w:r>
      <w:proofErr w:type="spellEnd"/>
      <w:r w:rsidRPr="00411DF4">
        <w:rPr>
          <w:sz w:val="22"/>
          <w:szCs w:val="22"/>
          <w:lang w:val="eu-ES"/>
        </w:rPr>
        <w:t xml:space="preserve"> jaunak/andreak maiatzaren 17an (erregistro-zenbakia: 202390000049154) informazio publikoa eskuratzeko aurkeztutako eskaera. Bertan, honako eranskin hauek eskatzen dira </w:t>
      </w:r>
      <w:proofErr w:type="spellStart"/>
      <w:r w:rsidRPr="00411DF4">
        <w:rPr>
          <w:sz w:val="22"/>
          <w:szCs w:val="22"/>
          <w:lang w:val="eu-ES"/>
        </w:rPr>
        <w:t>Hiberus</w:t>
      </w:r>
      <w:proofErr w:type="spellEnd"/>
      <w:r w:rsidRPr="00411DF4">
        <w:rPr>
          <w:sz w:val="22"/>
          <w:szCs w:val="22"/>
          <w:lang w:val="eu-ES"/>
        </w:rPr>
        <w:t xml:space="preserve"> enpresak Arabako Foru Suhiltzaileak erakunde </w:t>
      </w:r>
      <w:r>
        <w:rPr>
          <w:sz w:val="22"/>
          <w:szCs w:val="22"/>
          <w:lang w:val="eu-ES"/>
        </w:rPr>
        <w:t>autonomoarentzat</w:t>
      </w:r>
      <w:r w:rsidRPr="00411DF4">
        <w:rPr>
          <w:sz w:val="22"/>
          <w:szCs w:val="22"/>
          <w:lang w:val="eu-ES"/>
        </w:rPr>
        <w:t xml:space="preserve"> prestatutako informazioari dagokionez, "Administrazio-egitura aztertzeko aholkularitza-zerbitzua, lanpostuen eginkizunei eta zereginei dagokienez, eta langileak ordezkatzeari eta erosketei buruzko lan-prozesuen </w:t>
      </w:r>
      <w:proofErr w:type="spellStart"/>
      <w:r w:rsidRPr="00411DF4">
        <w:rPr>
          <w:sz w:val="22"/>
          <w:szCs w:val="22"/>
          <w:lang w:val="eu-ES"/>
        </w:rPr>
        <w:t>birdiseinu</w:t>
      </w:r>
      <w:proofErr w:type="spellEnd"/>
      <w:r w:rsidRPr="00411DF4">
        <w:rPr>
          <w:sz w:val="22"/>
          <w:szCs w:val="22"/>
          <w:lang w:val="eu-ES"/>
        </w:rPr>
        <w:t xml:space="preserve"> eta dokumentazioari dagokionez" enkargua betetzeko.</w:t>
      </w:r>
    </w:p>
    <w:p w14:paraId="6223BEC2" w14:textId="77777777" w:rsidR="00411DF4" w:rsidRPr="00411DF4" w:rsidRDefault="00411DF4" w:rsidP="00411DF4">
      <w:pPr>
        <w:pStyle w:val="Normal0"/>
        <w:spacing w:after="240"/>
        <w:jc w:val="both"/>
        <w:rPr>
          <w:sz w:val="22"/>
          <w:szCs w:val="22"/>
          <w:lang w:val="eu-ES"/>
        </w:rPr>
      </w:pPr>
      <w:r w:rsidRPr="00411DF4">
        <w:rPr>
          <w:sz w:val="22"/>
          <w:szCs w:val="22"/>
          <w:lang w:val="eu-ES"/>
        </w:rPr>
        <w:t>13.1. I. eranskina – Lanpostuen zereginen fitxak</w:t>
      </w:r>
    </w:p>
    <w:p w14:paraId="6A5229D0" w14:textId="77777777" w:rsidR="00411DF4" w:rsidRPr="00411DF4" w:rsidRDefault="00411DF4" w:rsidP="00411DF4">
      <w:pPr>
        <w:pStyle w:val="Normal0"/>
        <w:spacing w:after="240"/>
        <w:jc w:val="both"/>
        <w:rPr>
          <w:sz w:val="22"/>
          <w:szCs w:val="22"/>
          <w:lang w:val="eu-ES"/>
        </w:rPr>
      </w:pPr>
      <w:r w:rsidRPr="00411DF4">
        <w:rPr>
          <w:sz w:val="22"/>
          <w:szCs w:val="22"/>
          <w:lang w:val="eu-ES"/>
        </w:rPr>
        <w:t>13.2. II. eranskina – Zereginak lanpostuaren arabera eta horien ordu banaketa</w:t>
      </w:r>
    </w:p>
    <w:p w14:paraId="40D252B9" w14:textId="77777777" w:rsidR="00411DF4" w:rsidRPr="00411DF4" w:rsidRDefault="00411DF4" w:rsidP="00411DF4">
      <w:pPr>
        <w:pStyle w:val="Normal0"/>
        <w:spacing w:after="240"/>
        <w:jc w:val="both"/>
        <w:rPr>
          <w:sz w:val="22"/>
          <w:szCs w:val="22"/>
          <w:lang w:val="eu-ES"/>
        </w:rPr>
      </w:pPr>
      <w:r w:rsidRPr="00411DF4">
        <w:rPr>
          <w:sz w:val="22"/>
          <w:szCs w:val="22"/>
          <w:lang w:val="eu-ES"/>
        </w:rPr>
        <w:t>13.3. III. eranskina – Antolamendu hobekuntzak</w:t>
      </w:r>
    </w:p>
    <w:p w14:paraId="57367372" w14:textId="77777777" w:rsidR="00411DF4" w:rsidRPr="00411DF4" w:rsidRDefault="00411DF4" w:rsidP="00411DF4">
      <w:pPr>
        <w:pStyle w:val="Normal0"/>
        <w:spacing w:after="240"/>
        <w:jc w:val="both"/>
        <w:rPr>
          <w:sz w:val="22"/>
          <w:szCs w:val="22"/>
          <w:lang w:val="eu-ES"/>
        </w:rPr>
      </w:pPr>
      <w:r w:rsidRPr="00411DF4">
        <w:rPr>
          <w:sz w:val="22"/>
          <w:szCs w:val="22"/>
          <w:lang w:val="eu-ES"/>
        </w:rPr>
        <w:t>13.4. IV. eranskina – Prozeduren eta zerbitzuen katalogoa</w:t>
      </w:r>
    </w:p>
    <w:p w14:paraId="61D2595E" w14:textId="77777777" w:rsidR="00411DF4" w:rsidRPr="00411DF4" w:rsidRDefault="00411DF4" w:rsidP="00411DF4">
      <w:pPr>
        <w:pStyle w:val="Normal0"/>
        <w:spacing w:after="240"/>
        <w:jc w:val="both"/>
        <w:rPr>
          <w:sz w:val="22"/>
          <w:szCs w:val="22"/>
          <w:lang w:val="eu-ES"/>
        </w:rPr>
      </w:pPr>
      <w:r w:rsidRPr="00411DF4">
        <w:rPr>
          <w:sz w:val="22"/>
          <w:szCs w:val="22"/>
          <w:lang w:val="eu-ES"/>
        </w:rPr>
        <w:t xml:space="preserve">13.5. V. eranskina – IT </w:t>
      </w:r>
      <w:proofErr w:type="spellStart"/>
      <w:r w:rsidRPr="00411DF4">
        <w:rPr>
          <w:sz w:val="22"/>
          <w:szCs w:val="22"/>
          <w:lang w:val="eu-ES"/>
        </w:rPr>
        <w:t>ekosistema_Aplikazioen</w:t>
      </w:r>
      <w:proofErr w:type="spellEnd"/>
      <w:r w:rsidRPr="00411DF4">
        <w:rPr>
          <w:sz w:val="22"/>
          <w:szCs w:val="22"/>
          <w:lang w:val="eu-ES"/>
        </w:rPr>
        <w:t xml:space="preserve"> zerrenda</w:t>
      </w:r>
    </w:p>
    <w:p w14:paraId="2284DC4B" w14:textId="76E1D218" w:rsidR="00411DF4" w:rsidRDefault="00411DF4" w:rsidP="00411DF4">
      <w:pPr>
        <w:pStyle w:val="Normal0"/>
        <w:spacing w:after="240"/>
        <w:jc w:val="both"/>
        <w:rPr>
          <w:sz w:val="22"/>
          <w:szCs w:val="22"/>
          <w:lang w:val="eu-ES"/>
        </w:rPr>
      </w:pPr>
      <w:r w:rsidRPr="00411DF4">
        <w:rPr>
          <w:sz w:val="22"/>
          <w:szCs w:val="22"/>
          <w:lang w:val="eu-ES"/>
        </w:rPr>
        <w:t>13.6. VI. eranskina – Arabako Suhiltzaileak: ondorioak</w:t>
      </w:r>
    </w:p>
    <w:p w14:paraId="2C850722" w14:textId="77777777" w:rsidR="00411DF4" w:rsidRPr="00411DF4" w:rsidRDefault="00411DF4" w:rsidP="00411DF4">
      <w:pPr>
        <w:pStyle w:val="Normal0"/>
        <w:spacing w:after="120"/>
        <w:jc w:val="both"/>
        <w:rPr>
          <w:sz w:val="22"/>
          <w:szCs w:val="22"/>
          <w:lang w:val="eu-ES"/>
        </w:rPr>
      </w:pPr>
    </w:p>
    <w:p w14:paraId="3C5C1C40" w14:textId="066F5BB4" w:rsidR="00411DF4" w:rsidRDefault="00411DF4" w:rsidP="00411DF4">
      <w:pPr>
        <w:pStyle w:val="Normal0"/>
        <w:spacing w:after="120"/>
        <w:jc w:val="both"/>
        <w:rPr>
          <w:sz w:val="22"/>
          <w:szCs w:val="22"/>
          <w:lang w:val="eu-ES"/>
        </w:rPr>
      </w:pPr>
      <w:r w:rsidRPr="00411DF4">
        <w:rPr>
          <w:sz w:val="22"/>
          <w:szCs w:val="22"/>
          <w:lang w:val="eu-ES"/>
        </w:rPr>
        <w:t>Bigarrena. Ebazpen honek amaiera ematen dio administrazio-bideari, eta, beraren aurka, administrazioarekiko auzi-errekurtsoa jarri ahal izango da Vitoria-Gasteizko administrazioarekiko auzien epaitegietan, bi hilabeteko epean, edo, aldez aurretik eta nahi izanez gero, erreklamazioa aurkeztu ahal izango da Gardentasunerako eta Gobernu Onerako Foru Kontseiluan, hilabeteko epean; bi kasuetan, ebazpen hau jakinarazi eta hurrengo egunetik aurrera hasiko da epea.</w:t>
      </w:r>
    </w:p>
    <w:p w14:paraId="1FEBBB53" w14:textId="77777777" w:rsidR="005205F5" w:rsidRPr="00393647" w:rsidRDefault="00B04944" w:rsidP="005205F5">
      <w:pPr>
        <w:pStyle w:val="Normal0"/>
        <w:spacing w:before="240"/>
        <w:rPr>
          <w:sz w:val="22"/>
          <w:lang w:val="eu-ES"/>
        </w:rPr>
      </w:pPr>
      <w:r w:rsidRPr="00393647">
        <w:rPr>
          <w:sz w:val="22"/>
          <w:lang w:val="eu-ES"/>
        </w:rPr>
        <w:t>Vitoria-Gasteiz.</w:t>
      </w:r>
    </w:p>
    <w:tbl>
      <w:tblPr>
        <w:tblW w:w="4204" w:type="dxa"/>
        <w:tblLayout w:type="fixed"/>
        <w:tblCellMar>
          <w:left w:w="70" w:type="dxa"/>
          <w:right w:w="70" w:type="dxa"/>
        </w:tblCellMar>
        <w:tblLook w:val="0000" w:firstRow="0" w:lastRow="0" w:firstColumn="0" w:lastColumn="0" w:noHBand="0" w:noVBand="0"/>
      </w:tblPr>
      <w:tblGrid>
        <w:gridCol w:w="4204"/>
      </w:tblGrid>
      <w:tr w:rsidR="00196C37" w:rsidRPr="00393647" w14:paraId="76BB4C85" w14:textId="77777777" w:rsidTr="00EB05EC">
        <w:trPr>
          <w:trHeight w:val="1541"/>
        </w:trPr>
        <w:tc>
          <w:tcPr>
            <w:tcW w:w="4204" w:type="dxa"/>
          </w:tcPr>
          <w:p w14:paraId="317E1CE5" w14:textId="77777777" w:rsidR="00EB05EC" w:rsidRPr="00393647" w:rsidRDefault="00B04944" w:rsidP="00704500">
            <w:pPr>
              <w:pStyle w:val="Normal0"/>
              <w:tabs>
                <w:tab w:val="right" w:pos="8789"/>
              </w:tabs>
              <w:spacing w:before="1320" w:after="60" w:line="240" w:lineRule="exact"/>
              <w:rPr>
                <w:rFonts w:cs="Times New Roman"/>
                <w:b/>
                <w:sz w:val="22"/>
                <w:lang w:val="eu-ES" w:bidi="ar-SA"/>
              </w:rPr>
            </w:pPr>
            <w:r w:rsidRPr="00393647">
              <w:rPr>
                <w:rFonts w:cs="Times New Roman"/>
                <w:b/>
                <w:sz w:val="22"/>
                <w:lang w:val="eu-ES" w:bidi="ar-SA"/>
              </w:rPr>
              <w:t>Jesús María Guinea Díaz de Otálora</w:t>
            </w:r>
          </w:p>
          <w:p w14:paraId="545FB54E" w14:textId="1B2A844A" w:rsidR="00EB05EC" w:rsidRPr="00393647" w:rsidRDefault="00B04944" w:rsidP="00411DF4">
            <w:pPr>
              <w:pStyle w:val="Normal0"/>
              <w:tabs>
                <w:tab w:val="right" w:pos="8789"/>
              </w:tabs>
              <w:spacing w:after="20" w:line="240" w:lineRule="exact"/>
              <w:jc w:val="both"/>
              <w:rPr>
                <w:rFonts w:cs="Times New Roman"/>
                <w:sz w:val="22"/>
                <w:lang w:val="eu-ES" w:bidi="ar-SA"/>
              </w:rPr>
            </w:pPr>
            <w:r w:rsidRPr="00393647">
              <w:rPr>
                <w:rFonts w:cs="Times New Roman"/>
                <w:sz w:val="22"/>
                <w:lang w:val="eu-ES" w:bidi="ar-SA"/>
              </w:rPr>
              <w:t>Lurralde Orekaren zuzendaria</w:t>
            </w:r>
          </w:p>
        </w:tc>
      </w:tr>
      <w:bookmarkEnd w:id="0"/>
    </w:tbl>
    <w:p w14:paraId="7B8C86E0" w14:textId="77777777" w:rsidR="00663BA9" w:rsidRPr="00393647" w:rsidRDefault="00411DF4"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lang w:val="eu-ES"/>
        </w:rPr>
      </w:pPr>
    </w:p>
    <w:sectPr w:rsidR="00663BA9" w:rsidRPr="00393647" w:rsidSect="00E53B88">
      <w:headerReference w:type="default" r:id="rId8"/>
      <w:footerReference w:type="default" r:id="rId9"/>
      <w:headerReference w:type="first" r:id="rId10"/>
      <w:footerReference w:type="first" r:id="rId11"/>
      <w:type w:val="continuous"/>
      <w:pgSz w:w="11907" w:h="16840" w:code="9"/>
      <w:pgMar w:top="567" w:right="992" w:bottom="567" w:left="1134" w:header="284" w:footer="284"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3F34E" w14:textId="77777777" w:rsidR="00F43B52" w:rsidRDefault="00F43B52">
      <w:r>
        <w:separator/>
      </w:r>
    </w:p>
  </w:endnote>
  <w:endnote w:type="continuationSeparator" w:id="0">
    <w:p w14:paraId="18CF4242" w14:textId="77777777" w:rsidR="00F43B52" w:rsidRDefault="00F43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single" w:sz="4" w:space="0" w:color="808080" w:themeColor="background1" w:themeShade="80"/>
        <w:left w:val="nil"/>
        <w:bottom w:val="nil"/>
        <w:right w:val="nil"/>
        <w:insideH w:val="nil"/>
        <w:insideV w:val="nil"/>
      </w:tblBorders>
      <w:tblLook w:val="04A0" w:firstRow="1" w:lastRow="0" w:firstColumn="1" w:lastColumn="0" w:noHBand="0" w:noVBand="1"/>
    </w:tblPr>
    <w:tblGrid>
      <w:gridCol w:w="9781"/>
    </w:tblGrid>
    <w:tr w:rsidR="00196C37" w14:paraId="5C9F9109" w14:textId="77777777" w:rsidTr="00E47DB3">
      <w:trPr>
        <w:trHeight w:val="567"/>
      </w:trPr>
      <w:tc>
        <w:tcPr>
          <w:tcW w:w="9921" w:type="dxa"/>
        </w:tcPr>
        <w:p w14:paraId="5ECC3F27" w14:textId="77777777" w:rsidR="00007960" w:rsidRPr="00E47DB3" w:rsidRDefault="00B04944" w:rsidP="00E47DB3">
          <w:pPr>
            <w:pStyle w:val="Piedepgina"/>
            <w:jc w:val="right"/>
            <w:rPr>
              <w:rFonts w:ascii="Arial" w:hAnsi="Arial" w:cs="Arial"/>
            </w:rPr>
          </w:pPr>
          <w:r w:rsidRPr="00E47DB3">
            <w:rPr>
              <w:rFonts w:ascii="Arial" w:hAnsi="Arial" w:cs="Arial"/>
              <w:color w:val="808080"/>
              <w:sz w:val="16"/>
            </w:rPr>
            <w:fldChar w:fldCharType="begin"/>
          </w:r>
          <w:r w:rsidRPr="00E47DB3">
            <w:rPr>
              <w:rFonts w:ascii="Arial" w:hAnsi="Arial" w:cs="Arial"/>
              <w:color w:val="808080"/>
              <w:sz w:val="16"/>
            </w:rPr>
            <w:instrText xml:space="preserve"> PAGE </w:instrText>
          </w:r>
          <w:r w:rsidRPr="00E47DB3">
            <w:rPr>
              <w:rFonts w:ascii="Arial" w:hAnsi="Arial" w:cs="Arial"/>
              <w:color w:val="808080"/>
              <w:sz w:val="16"/>
            </w:rPr>
            <w:fldChar w:fldCharType="separate"/>
          </w:r>
          <w:r w:rsidRPr="00E47DB3">
            <w:rPr>
              <w:rFonts w:ascii="Arial" w:hAnsi="Arial" w:cs="Arial"/>
              <w:color w:val="808080"/>
              <w:sz w:val="16"/>
            </w:rPr>
            <w:t>5</w:t>
          </w:r>
          <w:r w:rsidRPr="00E47DB3">
            <w:rPr>
              <w:rFonts w:ascii="Arial" w:hAnsi="Arial" w:cs="Arial"/>
              <w:color w:val="808080"/>
              <w:sz w:val="16"/>
            </w:rPr>
            <w:fldChar w:fldCharType="end"/>
          </w:r>
          <w:r w:rsidRPr="00E47DB3">
            <w:rPr>
              <w:rFonts w:ascii="Arial" w:hAnsi="Arial" w:cs="Arial"/>
              <w:color w:val="808080"/>
              <w:sz w:val="16"/>
            </w:rPr>
            <w:t xml:space="preserve"> / </w:t>
          </w:r>
          <w:r w:rsidRPr="00E47DB3">
            <w:rPr>
              <w:rFonts w:ascii="Arial" w:hAnsi="Arial" w:cs="Arial"/>
              <w:color w:val="808080"/>
              <w:sz w:val="16"/>
            </w:rPr>
            <w:fldChar w:fldCharType="begin"/>
          </w:r>
          <w:r w:rsidRPr="00E47DB3">
            <w:rPr>
              <w:rFonts w:ascii="Arial" w:hAnsi="Arial" w:cs="Arial"/>
              <w:color w:val="808080"/>
              <w:sz w:val="16"/>
            </w:rPr>
            <w:instrText xml:space="preserve"> NUMPAGES </w:instrText>
          </w:r>
          <w:r w:rsidRPr="00E47DB3">
            <w:rPr>
              <w:rFonts w:ascii="Arial" w:hAnsi="Arial" w:cs="Arial"/>
              <w:color w:val="808080"/>
              <w:sz w:val="16"/>
            </w:rPr>
            <w:fldChar w:fldCharType="separate"/>
          </w:r>
          <w:r w:rsidRPr="00E47DB3">
            <w:rPr>
              <w:rFonts w:ascii="Arial" w:hAnsi="Arial" w:cs="Arial"/>
              <w:color w:val="808080"/>
              <w:sz w:val="16"/>
            </w:rPr>
            <w:t>5</w:t>
          </w:r>
          <w:r w:rsidRPr="00E47DB3">
            <w:rPr>
              <w:rFonts w:ascii="Arial" w:hAnsi="Arial" w:cs="Arial"/>
              <w:color w:val="808080"/>
              <w:sz w:val="16"/>
            </w:rPr>
            <w:fldChar w:fldCharType="end"/>
          </w:r>
        </w:p>
      </w:tc>
    </w:tr>
  </w:tbl>
  <w:p w14:paraId="708BE640" w14:textId="77777777" w:rsidR="00007960" w:rsidRDefault="00411DF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7F19B" w14:textId="77777777" w:rsidR="00BE3C89" w:rsidRPr="0013291F" w:rsidRDefault="00B04944" w:rsidP="00BE3C89">
    <w:pPr>
      <w:pBdr>
        <w:bottom w:val="single" w:sz="4" w:space="1" w:color="auto"/>
      </w:pBdr>
      <w:spacing w:line="180" w:lineRule="exact"/>
      <w:rPr>
        <w:sz w:val="22"/>
      </w:rPr>
    </w:pPr>
    <w:r w:rsidRPr="0013291F">
      <w:rPr>
        <w:rFonts w:ascii="Arial" w:hAnsi="Arial"/>
        <w:noProof/>
        <w:color w:val="000000"/>
        <w:sz w:val="14"/>
      </w:rPr>
      <w:t>CORE02</w:t>
    </w:r>
  </w:p>
  <w:tbl>
    <w:tblPr>
      <w:tblW w:w="0" w:type="auto"/>
      <w:tblLayout w:type="fixed"/>
      <w:tblCellMar>
        <w:left w:w="70" w:type="dxa"/>
        <w:right w:w="70" w:type="dxa"/>
      </w:tblCellMar>
      <w:tblLook w:val="0000" w:firstRow="0" w:lastRow="0" w:firstColumn="0" w:lastColumn="0" w:noHBand="0" w:noVBand="0"/>
    </w:tblPr>
    <w:tblGrid>
      <w:gridCol w:w="4323"/>
      <w:gridCol w:w="3118"/>
      <w:gridCol w:w="2268"/>
    </w:tblGrid>
    <w:tr w:rsidR="00196C37" w14:paraId="05F75279" w14:textId="77777777" w:rsidTr="005C6341">
      <w:trPr>
        <w:trHeight w:val="433"/>
      </w:trPr>
      <w:tc>
        <w:tcPr>
          <w:tcW w:w="4323" w:type="dxa"/>
        </w:tcPr>
        <w:p w14:paraId="1E1CA113" w14:textId="5B9E1D24" w:rsidR="00BE3C89" w:rsidRPr="0013291F" w:rsidRDefault="00276347" w:rsidP="005C6341">
          <w:pPr>
            <w:pStyle w:val="Textoindependiente"/>
            <w:spacing w:after="113" w:line="220" w:lineRule="exact"/>
            <w:ind w:left="11"/>
            <w:jc w:val="left"/>
            <w:rPr>
              <w:rFonts w:cs="Arial"/>
              <w:b/>
              <w:sz w:val="16"/>
              <w:szCs w:val="16"/>
            </w:rPr>
          </w:pPr>
          <w:proofErr w:type="spellStart"/>
          <w:r>
            <w:rPr>
              <w:rFonts w:cs="Arial"/>
              <w:b/>
              <w:sz w:val="16"/>
              <w:szCs w:val="16"/>
            </w:rPr>
            <w:t>Lurralde</w:t>
          </w:r>
          <w:proofErr w:type="spellEnd"/>
          <w:r>
            <w:rPr>
              <w:rFonts w:cs="Arial"/>
              <w:b/>
              <w:sz w:val="16"/>
              <w:szCs w:val="16"/>
            </w:rPr>
            <w:t xml:space="preserve"> </w:t>
          </w:r>
          <w:proofErr w:type="spellStart"/>
          <w:r>
            <w:rPr>
              <w:rFonts w:cs="Arial"/>
              <w:b/>
              <w:sz w:val="16"/>
              <w:szCs w:val="16"/>
            </w:rPr>
            <w:t>Orekaren</w:t>
          </w:r>
          <w:proofErr w:type="spellEnd"/>
          <w:r w:rsidRPr="0013291F">
            <w:rPr>
              <w:rFonts w:cs="Arial"/>
              <w:b/>
              <w:sz w:val="16"/>
              <w:szCs w:val="16"/>
            </w:rPr>
            <w:t xml:space="preserve"> Saila</w:t>
          </w:r>
        </w:p>
        <w:p w14:paraId="4B5C209B" w14:textId="3F4FD712" w:rsidR="00BE3C89" w:rsidRPr="0013291F" w:rsidRDefault="00B04944" w:rsidP="005C6341">
          <w:pPr>
            <w:pStyle w:val="Textoindependiente"/>
            <w:spacing w:after="113" w:line="220" w:lineRule="exact"/>
            <w:ind w:left="11"/>
            <w:jc w:val="left"/>
            <w:rPr>
              <w:rFonts w:cs="Arial"/>
              <w:sz w:val="16"/>
              <w:szCs w:val="16"/>
            </w:rPr>
          </w:pPr>
          <w:r w:rsidRPr="0013291F">
            <w:rPr>
              <w:rFonts w:cs="Arial"/>
              <w:b/>
              <w:sz w:val="16"/>
              <w:szCs w:val="16"/>
            </w:rPr>
            <w:t xml:space="preserve">Departamento de </w:t>
          </w:r>
          <w:r w:rsidR="00276347">
            <w:rPr>
              <w:rFonts w:cs="Arial"/>
              <w:b/>
              <w:sz w:val="16"/>
              <w:szCs w:val="16"/>
            </w:rPr>
            <w:t>Equilibrio Territorial</w:t>
          </w:r>
        </w:p>
      </w:tc>
      <w:tc>
        <w:tcPr>
          <w:tcW w:w="3118" w:type="dxa"/>
        </w:tcPr>
        <w:p w14:paraId="285BB7D2" w14:textId="0EB93E5B" w:rsidR="00BE3C89" w:rsidRPr="0013291F" w:rsidRDefault="00276347" w:rsidP="005C6341">
          <w:pPr>
            <w:pStyle w:val="Textoindependiente"/>
            <w:spacing w:before="20" w:after="70" w:line="200" w:lineRule="exact"/>
            <w:ind w:left="40"/>
            <w:jc w:val="left"/>
            <w:rPr>
              <w:rFonts w:cs="Arial"/>
              <w:sz w:val="16"/>
              <w:szCs w:val="16"/>
            </w:rPr>
          </w:pPr>
          <w:proofErr w:type="spellStart"/>
          <w:r>
            <w:rPr>
              <w:rFonts w:cs="Arial"/>
              <w:sz w:val="16"/>
              <w:szCs w:val="16"/>
            </w:rPr>
            <w:t>Lurralde</w:t>
          </w:r>
          <w:proofErr w:type="spellEnd"/>
          <w:r>
            <w:rPr>
              <w:rFonts w:cs="Arial"/>
              <w:sz w:val="16"/>
              <w:szCs w:val="16"/>
            </w:rPr>
            <w:t xml:space="preserve"> </w:t>
          </w:r>
          <w:proofErr w:type="spellStart"/>
          <w:proofErr w:type="gramStart"/>
          <w:r>
            <w:rPr>
              <w:rFonts w:cs="Arial"/>
              <w:sz w:val="16"/>
              <w:szCs w:val="16"/>
            </w:rPr>
            <w:t>Orekaren</w:t>
          </w:r>
          <w:proofErr w:type="spellEnd"/>
          <w:r>
            <w:rPr>
              <w:rFonts w:cs="Arial"/>
              <w:sz w:val="16"/>
              <w:szCs w:val="16"/>
            </w:rPr>
            <w:t xml:space="preserve"> </w:t>
          </w:r>
          <w:r w:rsidRPr="0013291F">
            <w:rPr>
              <w:rFonts w:cs="Arial"/>
              <w:sz w:val="16"/>
              <w:szCs w:val="16"/>
            </w:rPr>
            <w:t xml:space="preserve"> </w:t>
          </w:r>
          <w:proofErr w:type="spellStart"/>
          <w:r w:rsidRPr="0013291F">
            <w:rPr>
              <w:rFonts w:cs="Arial"/>
              <w:sz w:val="16"/>
              <w:szCs w:val="16"/>
            </w:rPr>
            <w:t>Zuzendaritza</w:t>
          </w:r>
          <w:proofErr w:type="spellEnd"/>
          <w:proofErr w:type="gramEnd"/>
        </w:p>
        <w:p w14:paraId="61A7C123" w14:textId="4CBBDA39" w:rsidR="00BE3C89" w:rsidRPr="0013291F" w:rsidRDefault="00B04944" w:rsidP="005C6341">
          <w:pPr>
            <w:pStyle w:val="Textoindependiente"/>
            <w:spacing w:before="20" w:after="70" w:line="200" w:lineRule="exact"/>
            <w:ind w:left="40"/>
            <w:jc w:val="left"/>
            <w:rPr>
              <w:rFonts w:cs="Arial"/>
              <w:sz w:val="16"/>
              <w:szCs w:val="16"/>
            </w:rPr>
          </w:pPr>
          <w:r w:rsidRPr="0013291F">
            <w:rPr>
              <w:rFonts w:cs="Arial"/>
              <w:sz w:val="16"/>
              <w:szCs w:val="16"/>
            </w:rPr>
            <w:t xml:space="preserve">Dirección de </w:t>
          </w:r>
          <w:r w:rsidR="00276347">
            <w:rPr>
              <w:rFonts w:cs="Arial"/>
              <w:sz w:val="16"/>
              <w:szCs w:val="16"/>
            </w:rPr>
            <w:t>Equilibrio Territorial</w:t>
          </w:r>
        </w:p>
      </w:tc>
      <w:tc>
        <w:tcPr>
          <w:tcW w:w="2268" w:type="dxa"/>
        </w:tcPr>
        <w:p w14:paraId="7BA95159" w14:textId="527D8838" w:rsidR="00BE3C89" w:rsidRPr="0013291F" w:rsidRDefault="00B04944" w:rsidP="005C6341">
          <w:pPr>
            <w:pStyle w:val="Piedepgina"/>
            <w:spacing w:after="2" w:line="220" w:lineRule="exact"/>
            <w:ind w:left="40"/>
            <w:rPr>
              <w:rFonts w:ascii="Arial" w:hAnsi="Arial" w:cs="Arial"/>
              <w:noProof/>
              <w:sz w:val="14"/>
              <w:szCs w:val="14"/>
            </w:rPr>
          </w:pPr>
          <w:r w:rsidRPr="0013291F">
            <w:rPr>
              <w:rFonts w:ascii="Arial" w:hAnsi="Arial" w:cs="Arial"/>
              <w:noProof/>
              <w:sz w:val="14"/>
              <w:szCs w:val="14"/>
            </w:rPr>
            <w:t xml:space="preserve">Probintzia </w:t>
          </w:r>
          <w:r w:rsidR="00276347">
            <w:rPr>
              <w:rFonts w:ascii="Arial" w:hAnsi="Arial" w:cs="Arial"/>
              <w:noProof/>
              <w:sz w:val="14"/>
              <w:szCs w:val="14"/>
            </w:rPr>
            <w:t>P</w:t>
          </w:r>
          <w:r w:rsidRPr="0013291F">
            <w:rPr>
              <w:rFonts w:ascii="Arial" w:hAnsi="Arial" w:cs="Arial"/>
              <w:noProof/>
              <w:sz w:val="14"/>
              <w:szCs w:val="14"/>
            </w:rPr>
            <w:t>laza</w:t>
          </w:r>
          <w:r w:rsidR="00276347">
            <w:rPr>
              <w:rFonts w:ascii="Arial" w:hAnsi="Arial" w:cs="Arial"/>
              <w:noProof/>
              <w:sz w:val="14"/>
              <w:szCs w:val="14"/>
            </w:rPr>
            <w:t>, 5-2</w:t>
          </w:r>
        </w:p>
        <w:p w14:paraId="29A2CA48" w14:textId="77777777" w:rsidR="00BE3C89" w:rsidRPr="0013291F" w:rsidRDefault="00B04944" w:rsidP="005C6341">
          <w:pPr>
            <w:pStyle w:val="Piedepgina"/>
            <w:spacing w:after="2" w:line="220" w:lineRule="exact"/>
            <w:ind w:left="40"/>
            <w:rPr>
              <w:rFonts w:ascii="Arial" w:hAnsi="Arial" w:cs="Arial"/>
              <w:noProof/>
              <w:sz w:val="14"/>
              <w:szCs w:val="14"/>
            </w:rPr>
          </w:pPr>
          <w:r w:rsidRPr="0013291F">
            <w:rPr>
              <w:rFonts w:ascii="Arial" w:hAnsi="Arial" w:cs="Arial"/>
              <w:noProof/>
              <w:sz w:val="14"/>
              <w:szCs w:val="14"/>
            </w:rPr>
            <w:t>01001 Vitoria-Gasteiz</w:t>
          </w:r>
        </w:p>
        <w:p w14:paraId="6536E4E0" w14:textId="2012E5E6" w:rsidR="00BE3C89" w:rsidRPr="0013291F" w:rsidRDefault="00B04944" w:rsidP="005C6341">
          <w:pPr>
            <w:pStyle w:val="Piedepgina"/>
            <w:spacing w:after="2" w:line="220" w:lineRule="exact"/>
            <w:ind w:left="40"/>
            <w:rPr>
              <w:rFonts w:ascii="Arial" w:hAnsi="Arial" w:cs="Arial"/>
              <w:sz w:val="22"/>
            </w:rPr>
          </w:pPr>
          <w:r w:rsidRPr="0013291F">
            <w:rPr>
              <w:rFonts w:ascii="Arial" w:hAnsi="Arial" w:cs="Arial"/>
              <w:noProof/>
              <w:sz w:val="14"/>
              <w:szCs w:val="14"/>
            </w:rPr>
            <w:t>Tel.: 945 18 18 18</w:t>
          </w:r>
          <w:r w:rsidRPr="0013291F">
            <w:rPr>
              <w:rFonts w:ascii="Arial" w:hAnsi="Arial" w:cs="Arial"/>
              <w:noProof/>
              <w:sz w:val="14"/>
              <w:szCs w:val="14"/>
            </w:rPr>
            <w:br/>
            <w:t>Fax: 945 18 1</w:t>
          </w:r>
          <w:r w:rsidR="00276347">
            <w:rPr>
              <w:rFonts w:ascii="Arial" w:hAnsi="Arial" w:cs="Arial"/>
              <w:noProof/>
              <w:sz w:val="14"/>
              <w:szCs w:val="14"/>
            </w:rPr>
            <w:t>7 73</w:t>
          </w:r>
        </w:p>
      </w:tc>
    </w:tr>
  </w:tbl>
  <w:p w14:paraId="7C23B16A" w14:textId="77777777" w:rsidR="00007960" w:rsidRPr="00BE3C89" w:rsidRDefault="00411DF4" w:rsidP="00BE3C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C5C8C" w14:textId="77777777" w:rsidR="00F43B52" w:rsidRDefault="00F43B52">
      <w:r>
        <w:separator/>
      </w:r>
    </w:p>
  </w:footnote>
  <w:footnote w:type="continuationSeparator" w:id="0">
    <w:p w14:paraId="4598F045" w14:textId="77777777" w:rsidR="00F43B52" w:rsidRDefault="00F43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4536"/>
      <w:gridCol w:w="851"/>
      <w:gridCol w:w="4536"/>
    </w:tblGrid>
    <w:tr w:rsidR="00196C37" w14:paraId="79FD35DE" w14:textId="77777777" w:rsidTr="001A0E0E">
      <w:trPr>
        <w:cantSplit/>
        <w:trHeight w:hRule="exact" w:val="567"/>
      </w:trPr>
      <w:tc>
        <w:tcPr>
          <w:tcW w:w="4536" w:type="dxa"/>
          <w:vAlign w:val="center"/>
        </w:tcPr>
        <w:p w14:paraId="706DB114" w14:textId="77777777" w:rsidR="00007960" w:rsidRDefault="00411DF4" w:rsidP="0078412B">
          <w:pPr>
            <w:pStyle w:val="Encabezado"/>
          </w:pPr>
        </w:p>
      </w:tc>
      <w:tc>
        <w:tcPr>
          <w:tcW w:w="851" w:type="dxa"/>
          <w:vMerge w:val="restart"/>
          <w:vAlign w:val="center"/>
        </w:tcPr>
        <w:p w14:paraId="3B2F3B4F" w14:textId="77777777" w:rsidR="00007960" w:rsidRDefault="00B04944" w:rsidP="0078412B">
          <w:pPr>
            <w:pStyle w:val="Encabezado"/>
            <w:jc w:val="center"/>
          </w:pPr>
          <w:r>
            <w:rPr>
              <w:noProof/>
              <w:lang w:val="es-ES"/>
            </w:rPr>
            <w:drawing>
              <wp:inline distT="0" distB="0" distL="0" distR="0" wp14:anchorId="4B7C012D" wp14:editId="6F45EC0B">
                <wp:extent cx="428625" cy="428625"/>
                <wp:effectExtent l="19050" t="0" r="9525" b="0"/>
                <wp:docPr id="2" name="Imagen 2"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 MBOLO 12 X 12"/>
                        <pic:cNvPicPr>
                          <a:picLocks noChangeAspect="1" noChangeArrowheads="1"/>
                        </pic:cNvPicPr>
                      </pic:nvPicPr>
                      <pic:blipFill>
                        <a:blip r:embed="rId1"/>
                        <a:srcRect/>
                        <a:stretch>
                          <a:fillRect/>
                        </a:stretch>
                      </pic:blipFill>
                      <pic:spPr bwMode="auto">
                        <a:xfrm>
                          <a:off x="0" y="0"/>
                          <a:ext cx="428625" cy="428625"/>
                        </a:xfrm>
                        <a:prstGeom prst="rect">
                          <a:avLst/>
                        </a:prstGeom>
                        <a:noFill/>
                        <a:ln w="9525">
                          <a:noFill/>
                          <a:miter lim="800000"/>
                          <a:headEnd/>
                          <a:tailEnd/>
                        </a:ln>
                      </pic:spPr>
                    </pic:pic>
                  </a:graphicData>
                </a:graphic>
              </wp:inline>
            </w:drawing>
          </w:r>
        </w:p>
      </w:tc>
      <w:tc>
        <w:tcPr>
          <w:tcW w:w="4536" w:type="dxa"/>
          <w:vAlign w:val="center"/>
        </w:tcPr>
        <w:p w14:paraId="1E032709" w14:textId="77777777" w:rsidR="00007960" w:rsidRDefault="00411DF4" w:rsidP="0078412B">
          <w:pPr>
            <w:pStyle w:val="Encabezado"/>
          </w:pPr>
        </w:p>
      </w:tc>
    </w:tr>
    <w:tr w:rsidR="00196C37" w14:paraId="216E234D" w14:textId="77777777" w:rsidTr="001A0E0E">
      <w:trPr>
        <w:cantSplit/>
        <w:trHeight w:hRule="exact" w:val="567"/>
      </w:trPr>
      <w:tc>
        <w:tcPr>
          <w:tcW w:w="4536" w:type="dxa"/>
          <w:vAlign w:val="center"/>
        </w:tcPr>
        <w:p w14:paraId="02088F4C" w14:textId="77777777" w:rsidR="00007960" w:rsidRDefault="00411DF4" w:rsidP="0078412B">
          <w:pPr>
            <w:pStyle w:val="Encabezado"/>
          </w:pPr>
        </w:p>
      </w:tc>
      <w:tc>
        <w:tcPr>
          <w:tcW w:w="851" w:type="dxa"/>
          <w:vMerge/>
          <w:vAlign w:val="center"/>
        </w:tcPr>
        <w:p w14:paraId="1D6DFDA6" w14:textId="77777777" w:rsidR="00007960" w:rsidRDefault="00411DF4" w:rsidP="0078412B">
          <w:pPr>
            <w:pStyle w:val="Encabezado"/>
            <w:jc w:val="center"/>
          </w:pPr>
        </w:p>
      </w:tc>
      <w:tc>
        <w:tcPr>
          <w:tcW w:w="4536" w:type="dxa"/>
          <w:vAlign w:val="center"/>
        </w:tcPr>
        <w:p w14:paraId="1FA89523" w14:textId="77777777" w:rsidR="00007960" w:rsidRDefault="00411DF4" w:rsidP="0078412B">
          <w:pPr>
            <w:pStyle w:val="Encabezado"/>
          </w:pPr>
        </w:p>
      </w:tc>
    </w:tr>
  </w:tbl>
  <w:p w14:paraId="194D14AC" w14:textId="77777777" w:rsidR="00007960" w:rsidRPr="0013766D" w:rsidRDefault="00411DF4">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Ind w:w="108" w:type="dxa"/>
      <w:tblBorders>
        <w:top w:val="nil"/>
        <w:left w:val="nil"/>
        <w:bottom w:val="nil"/>
        <w:right w:val="nil"/>
        <w:insideH w:val="nil"/>
        <w:insideV w:val="nil"/>
      </w:tblBorders>
      <w:tblLayout w:type="fixed"/>
      <w:tblLook w:val="04A0" w:firstRow="1" w:lastRow="0" w:firstColumn="1" w:lastColumn="0" w:noHBand="0" w:noVBand="1"/>
    </w:tblPr>
    <w:tblGrid>
      <w:gridCol w:w="3969"/>
      <w:gridCol w:w="5954"/>
    </w:tblGrid>
    <w:tr w:rsidR="00196C37" w14:paraId="67386D41" w14:textId="77777777" w:rsidTr="001F2BE9">
      <w:trPr>
        <w:trHeight w:val="2041"/>
      </w:trPr>
      <w:tc>
        <w:tcPr>
          <w:tcW w:w="3969" w:type="dxa"/>
        </w:tcPr>
        <w:p w14:paraId="0B8E19E5" w14:textId="77777777" w:rsidR="00007960" w:rsidRPr="007F2571" w:rsidRDefault="00B04944" w:rsidP="00470015">
          <w:pPr>
            <w:pStyle w:val="Encabezado"/>
            <w:rPr>
              <w:noProof/>
              <w:sz w:val="16"/>
              <w:szCs w:val="16"/>
              <w:lang w:val="es-ES"/>
            </w:rPr>
          </w:pPr>
          <w:r>
            <w:rPr>
              <w:rFonts w:ascii="Arial" w:hAnsi="Arial" w:cs="Arial"/>
              <w:i/>
              <w:noProof/>
              <w:color w:val="000000" w:themeColor="text1"/>
              <w:sz w:val="12"/>
              <w:szCs w:val="12"/>
              <w:lang w:val="es-ES"/>
            </w:rPr>
            <w:drawing>
              <wp:inline distT="0" distB="0" distL="0" distR="0" wp14:anchorId="687D53E3" wp14:editId="2B0808E7">
                <wp:extent cx="1566000" cy="1292335"/>
                <wp:effectExtent l="0" t="0" r="0" b="317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FA-Not-Eus-001.png"/>
                        <pic:cNvPicPr/>
                      </pic:nvPicPr>
                      <pic:blipFill>
                        <a:blip r:embed="rId1">
                          <a:extLst>
                            <a:ext uri="{28A0092B-C50C-407E-A947-70E740481C1C}">
                              <a14:useLocalDpi xmlns:a14="http://schemas.microsoft.com/office/drawing/2010/main" val="0"/>
                            </a:ext>
                          </a:extLst>
                        </a:blip>
                        <a:stretch>
                          <a:fillRect/>
                        </a:stretch>
                      </pic:blipFill>
                      <pic:spPr>
                        <a:xfrm>
                          <a:off x="0" y="0"/>
                          <a:ext cx="1566000" cy="1292335"/>
                        </a:xfrm>
                        <a:prstGeom prst="rect">
                          <a:avLst/>
                        </a:prstGeom>
                      </pic:spPr>
                    </pic:pic>
                  </a:graphicData>
                </a:graphic>
              </wp:inline>
            </w:drawing>
          </w:r>
        </w:p>
      </w:tc>
      <w:tc>
        <w:tcPr>
          <w:tcW w:w="5954" w:type="dxa"/>
        </w:tcPr>
        <w:p w14:paraId="65842CC6" w14:textId="77777777" w:rsidR="00007960" w:rsidRDefault="00411DF4" w:rsidP="00470015">
          <w:pPr>
            <w:pStyle w:val="Piedepgina"/>
            <w:rPr>
              <w:rFonts w:ascii="Arial" w:hAnsi="Arial" w:cs="Arial"/>
              <w:b/>
              <w:bCs/>
              <w:color w:val="808080" w:themeColor="background1" w:themeShade="80"/>
              <w:sz w:val="12"/>
              <w:szCs w:val="12"/>
              <w:lang w:val="es-ES"/>
            </w:rPr>
          </w:pPr>
        </w:p>
        <w:p w14:paraId="1AB685D1" w14:textId="77777777" w:rsidR="00007960" w:rsidRPr="000B6392" w:rsidRDefault="00411DF4" w:rsidP="00470015">
          <w:pPr>
            <w:pStyle w:val="Encabezado"/>
            <w:rPr>
              <w:rFonts w:ascii="Arial" w:hAnsi="Arial" w:cs="Arial"/>
              <w:b/>
              <w:color w:val="808080" w:themeColor="background1" w:themeShade="80"/>
              <w:sz w:val="16"/>
              <w:szCs w:val="16"/>
            </w:rPr>
          </w:pPr>
        </w:p>
      </w:tc>
    </w:tr>
  </w:tbl>
  <w:p w14:paraId="7AC437A4" w14:textId="77777777" w:rsidR="00007960" w:rsidRPr="0013766D" w:rsidRDefault="00411DF4" w:rsidP="007D03F1">
    <w:pPr>
      <w:pStyle w:val="Encabezado"/>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730D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B67706"/>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29B06D91"/>
    <w:multiLevelType w:val="singleLevel"/>
    <w:tmpl w:val="0C0A000F"/>
    <w:lvl w:ilvl="0">
      <w:start w:val="1"/>
      <w:numFmt w:val="decimal"/>
      <w:lvlText w:val="%1."/>
      <w:lvlJc w:val="left"/>
      <w:pPr>
        <w:tabs>
          <w:tab w:val="num" w:pos="360"/>
        </w:tabs>
        <w:ind w:left="360" w:hanging="360"/>
      </w:pPr>
    </w:lvl>
  </w:abstractNum>
  <w:abstractNum w:abstractNumId="3" w15:restartNumberingAfterBreak="0">
    <w:nsid w:val="6AAC21F7"/>
    <w:multiLevelType w:val="singleLevel"/>
    <w:tmpl w:val="0C0A000F"/>
    <w:lvl w:ilvl="0">
      <w:start w:val="1"/>
      <w:numFmt w:val="decimal"/>
      <w:lvlText w:val="%1."/>
      <w:lvlJc w:val="left"/>
      <w:pPr>
        <w:tabs>
          <w:tab w:val="num" w:pos="360"/>
        </w:tabs>
        <w:ind w:left="360" w:hanging="360"/>
      </w:pPr>
    </w:lvl>
  </w:abstractNum>
  <w:num w:numId="1" w16cid:durableId="711002477">
    <w:abstractNumId w:val="0"/>
  </w:num>
  <w:num w:numId="2" w16cid:durableId="1762141900">
    <w:abstractNumId w:val="2"/>
  </w:num>
  <w:num w:numId="3" w16cid:durableId="654139811">
    <w:abstractNumId w:val="1"/>
  </w:num>
  <w:num w:numId="4" w16cid:durableId="5723568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attachedTemplate r:id="rId1"/>
  <w:doNotTrackMoves/>
  <w:defaultTabStop w:val="709"/>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C37"/>
    <w:rsid w:val="000146A5"/>
    <w:rsid w:val="00015006"/>
    <w:rsid w:val="00127F6C"/>
    <w:rsid w:val="00196C37"/>
    <w:rsid w:val="00276347"/>
    <w:rsid w:val="002A08CE"/>
    <w:rsid w:val="00335F35"/>
    <w:rsid w:val="00393647"/>
    <w:rsid w:val="00411DF4"/>
    <w:rsid w:val="0061482A"/>
    <w:rsid w:val="006149A2"/>
    <w:rsid w:val="00627714"/>
    <w:rsid w:val="006D2BF2"/>
    <w:rsid w:val="0071580B"/>
    <w:rsid w:val="00832A9B"/>
    <w:rsid w:val="008772C0"/>
    <w:rsid w:val="00A155AB"/>
    <w:rsid w:val="00A47D11"/>
    <w:rsid w:val="00AF2E23"/>
    <w:rsid w:val="00B04944"/>
    <w:rsid w:val="00BD7F95"/>
    <w:rsid w:val="00BE1735"/>
    <w:rsid w:val="00DB2F60"/>
    <w:rsid w:val="00E562C1"/>
    <w:rsid w:val="00E8163C"/>
    <w:rsid w:val="00F43B52"/>
    <w:rsid w:val="00FA7A7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7127DE"/>
  <w15:docId w15:val="{29F999EC-8DDD-4607-B53D-0DDEEC615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F13"/>
    <w:rPr>
      <w:sz w:val="24"/>
      <w:lang w:val="es-ES_tradnl"/>
    </w:rPr>
  </w:style>
  <w:style w:type="paragraph" w:styleId="Ttulo1">
    <w:name w:val="heading 1"/>
    <w:basedOn w:val="Normal"/>
    <w:next w:val="Normal"/>
    <w:qFormat/>
    <w:rsid w:val="00807F13"/>
    <w:pPr>
      <w:keepNext/>
      <w:tabs>
        <w:tab w:val="left" w:pos="1702"/>
        <w:tab w:val="left" w:pos="4253"/>
        <w:tab w:val="left" w:pos="5104"/>
        <w:tab w:val="left" w:pos="5812"/>
      </w:tabs>
      <w:spacing w:after="120"/>
      <w:ind w:firstLine="851"/>
      <w:jc w:val="center"/>
      <w:outlineLvl w:val="0"/>
    </w:pPr>
    <w:rPr>
      <w:rFonts w:ascii="Arial" w:hAnsi="Arial"/>
      <w:b/>
      <w:sz w:val="22"/>
    </w:rPr>
  </w:style>
  <w:style w:type="paragraph" w:styleId="Ttulo2">
    <w:name w:val="heading 2"/>
    <w:basedOn w:val="Normal"/>
    <w:next w:val="Normal"/>
    <w:qFormat/>
    <w:rsid w:val="00807F13"/>
    <w:pPr>
      <w:keepNext/>
      <w:tabs>
        <w:tab w:val="left" w:pos="1560"/>
      </w:tabs>
      <w:ind w:right="-780"/>
      <w:outlineLvl w:val="1"/>
    </w:pPr>
    <w:rPr>
      <w:rFonts w:ascii="Arial" w:hAnsi="Arial"/>
      <w:b/>
      <w:sz w:val="22"/>
    </w:rPr>
  </w:style>
  <w:style w:type="paragraph" w:styleId="Ttulo5">
    <w:name w:val="heading 5"/>
    <w:basedOn w:val="Normal"/>
    <w:next w:val="Normal"/>
    <w:link w:val="Ttulo5Car"/>
    <w:qFormat/>
    <w:rsid w:val="00913835"/>
    <w:pPr>
      <w:keepNext/>
      <w:tabs>
        <w:tab w:val="left" w:pos="-851"/>
      </w:tabs>
      <w:spacing w:after="240"/>
      <w:jc w:val="both"/>
      <w:outlineLvl w:val="4"/>
    </w:pPr>
    <w:rPr>
      <w:rFonts w:ascii="Times New Roman" w:hAnsi="Times New Roman"/>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807F13"/>
    <w:pPr>
      <w:tabs>
        <w:tab w:val="center" w:pos="4252"/>
        <w:tab w:val="right" w:pos="8504"/>
      </w:tabs>
    </w:pPr>
  </w:style>
  <w:style w:type="paragraph" w:styleId="Encabezado">
    <w:name w:val="header"/>
    <w:basedOn w:val="Normal"/>
    <w:link w:val="EncabezadoCar"/>
    <w:semiHidden/>
    <w:rsid w:val="00807F13"/>
    <w:pPr>
      <w:tabs>
        <w:tab w:val="center" w:pos="4819"/>
        <w:tab w:val="right" w:pos="9071"/>
      </w:tabs>
    </w:pPr>
  </w:style>
  <w:style w:type="paragraph" w:customStyle="1" w:styleId="membrete">
    <w:name w:val="membrete"/>
    <w:basedOn w:val="Normal"/>
    <w:rsid w:val="00807F13"/>
    <w:pPr>
      <w:framePr w:hSpace="142" w:vSpace="142" w:wrap="auto" w:hAnchor="margin" w:xAlign="center"/>
      <w:jc w:val="right"/>
    </w:pPr>
    <w:rPr>
      <w:rFonts w:ascii="Helv" w:hAnsi="Helv"/>
      <w:sz w:val="14"/>
    </w:rPr>
  </w:style>
  <w:style w:type="paragraph" w:customStyle="1" w:styleId="membretei">
    <w:name w:val="membretei"/>
    <w:basedOn w:val="membrete"/>
    <w:rsid w:val="00807F13"/>
    <w:pPr>
      <w:framePr w:hSpace="0" w:vSpace="0" w:wrap="auto" w:hAnchor="text" w:xAlign="left"/>
      <w:spacing w:after="96"/>
    </w:pPr>
  </w:style>
  <w:style w:type="paragraph" w:customStyle="1" w:styleId="membreted">
    <w:name w:val="membreted"/>
    <w:basedOn w:val="Normal"/>
    <w:rsid w:val="00807F13"/>
    <w:rPr>
      <w:rFonts w:ascii="Helv" w:hAnsi="Helv"/>
      <w:b/>
      <w:sz w:val="18"/>
    </w:rPr>
  </w:style>
  <w:style w:type="paragraph" w:styleId="Sangradetextonormal">
    <w:name w:val="Body Text Indent"/>
    <w:basedOn w:val="Normal"/>
    <w:semiHidden/>
    <w:rsid w:val="00807F13"/>
    <w:pPr>
      <w:tabs>
        <w:tab w:val="left" w:pos="1702"/>
        <w:tab w:val="left" w:pos="4253"/>
        <w:tab w:val="left" w:pos="5104"/>
        <w:tab w:val="left" w:pos="5812"/>
      </w:tabs>
      <w:spacing w:before="480" w:after="120"/>
      <w:ind w:firstLine="851"/>
    </w:pPr>
  </w:style>
  <w:style w:type="paragraph" w:styleId="Sangra2detindependiente">
    <w:name w:val="Body Text Indent 2"/>
    <w:basedOn w:val="Normal"/>
    <w:semiHidden/>
    <w:rsid w:val="00807F13"/>
    <w:pPr>
      <w:tabs>
        <w:tab w:val="left" w:pos="1702"/>
      </w:tabs>
      <w:ind w:right="-638" w:firstLine="851"/>
    </w:pPr>
  </w:style>
  <w:style w:type="paragraph" w:styleId="Sangra3detindependiente">
    <w:name w:val="Body Text Indent 3"/>
    <w:basedOn w:val="Normal"/>
    <w:semiHidden/>
    <w:rsid w:val="00807F13"/>
    <w:pPr>
      <w:tabs>
        <w:tab w:val="left" w:pos="1702"/>
        <w:tab w:val="left" w:pos="4253"/>
        <w:tab w:val="left" w:pos="5104"/>
        <w:tab w:val="left" w:pos="5812"/>
      </w:tabs>
      <w:spacing w:after="120"/>
      <w:ind w:left="851"/>
    </w:pPr>
  </w:style>
  <w:style w:type="paragraph" w:styleId="Textoindependiente">
    <w:name w:val="Body Text"/>
    <w:basedOn w:val="Normal"/>
    <w:semiHidden/>
    <w:rsid w:val="00807F13"/>
    <w:pPr>
      <w:spacing w:after="240"/>
      <w:jc w:val="both"/>
    </w:pPr>
    <w:rPr>
      <w:rFonts w:ascii="Arial" w:hAnsi="Arial"/>
      <w:sz w:val="22"/>
    </w:rPr>
  </w:style>
  <w:style w:type="paragraph" w:styleId="Textodeglobo">
    <w:name w:val="Balloon Text"/>
    <w:basedOn w:val="Normal"/>
    <w:link w:val="TextodegloboCar"/>
    <w:uiPriority w:val="99"/>
    <w:semiHidden/>
    <w:unhideWhenUsed/>
    <w:rsid w:val="00405F61"/>
    <w:rPr>
      <w:rFonts w:ascii="Tahoma" w:hAnsi="Tahoma" w:cs="Tahoma"/>
      <w:sz w:val="16"/>
      <w:szCs w:val="16"/>
    </w:rPr>
  </w:style>
  <w:style w:type="character" w:customStyle="1" w:styleId="TextodegloboCar">
    <w:name w:val="Texto de globo Car"/>
    <w:basedOn w:val="Fuentedeprrafopredeter"/>
    <w:link w:val="Textodeglobo"/>
    <w:uiPriority w:val="99"/>
    <w:semiHidden/>
    <w:rsid w:val="00405F61"/>
    <w:rPr>
      <w:rFonts w:ascii="Tahoma" w:hAnsi="Tahoma" w:cs="Tahoma"/>
      <w:sz w:val="16"/>
      <w:szCs w:val="16"/>
      <w:lang w:val="es-ES_tradnl"/>
    </w:rPr>
  </w:style>
  <w:style w:type="table" w:styleId="Tablaconcuadrcula">
    <w:name w:val="Table Grid"/>
    <w:basedOn w:val="Tablanormal"/>
    <w:uiPriority w:val="59"/>
    <w:rsid w:val="00405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F2571"/>
    <w:rPr>
      <w:color w:val="0000FF" w:themeColor="hyperlink"/>
      <w:u w:val="single"/>
    </w:rPr>
  </w:style>
  <w:style w:type="character" w:customStyle="1" w:styleId="Ttulo5Car">
    <w:name w:val="Título 5 Car"/>
    <w:basedOn w:val="Fuentedeprrafopredeter"/>
    <w:link w:val="Ttulo5"/>
    <w:rsid w:val="00913835"/>
    <w:rPr>
      <w:rFonts w:ascii="Times New Roman" w:hAnsi="Times New Roman"/>
      <w:sz w:val="22"/>
      <w:u w:val="single"/>
      <w:lang w:val="es-ES_tradnl"/>
    </w:rPr>
  </w:style>
  <w:style w:type="paragraph" w:styleId="NormalWeb">
    <w:name w:val="Normal (Web)"/>
    <w:basedOn w:val="Normal"/>
    <w:uiPriority w:val="99"/>
    <w:semiHidden/>
    <w:unhideWhenUsed/>
    <w:rsid w:val="00DF3AA4"/>
    <w:pPr>
      <w:spacing w:before="100" w:beforeAutospacing="1" w:after="100" w:afterAutospacing="1"/>
    </w:pPr>
    <w:rPr>
      <w:rFonts w:ascii="Times New Roman" w:hAnsi="Times New Roman"/>
      <w:szCs w:val="24"/>
      <w:lang w:val="es-ES"/>
    </w:rPr>
  </w:style>
  <w:style w:type="character" w:customStyle="1" w:styleId="EncabezadoCar">
    <w:name w:val="Encabezado Car"/>
    <w:basedOn w:val="Fuentedeprrafopredeter"/>
    <w:link w:val="Encabezado"/>
    <w:semiHidden/>
    <w:rsid w:val="00E72518"/>
    <w:rPr>
      <w:sz w:val="24"/>
      <w:lang w:val="es-ES_tradnl"/>
    </w:rPr>
  </w:style>
  <w:style w:type="character" w:customStyle="1" w:styleId="PiedepginaCar">
    <w:name w:val="Pie de página Car"/>
    <w:basedOn w:val="Fuentedeprrafopredeter"/>
    <w:link w:val="Piedepgina"/>
    <w:semiHidden/>
    <w:rsid w:val="00E72518"/>
    <w:rPr>
      <w:sz w:val="24"/>
      <w:lang w:val="es-ES_tradnl"/>
    </w:rPr>
  </w:style>
  <w:style w:type="paragraph" w:customStyle="1" w:styleId="Normal0">
    <w:name w:val="Normal_0"/>
    <w:qFormat/>
    <w:rPr>
      <w:rFonts w:ascii="Times New Roman" w:hAnsi="Times New Roman" w:cs="Arial"/>
      <w:lang w:val="es-ES_tradnl" w:bidi="or-IN"/>
    </w:rPr>
  </w:style>
  <w:style w:type="paragraph" w:customStyle="1" w:styleId="Default">
    <w:name w:val="Default"/>
    <w:rsid w:val="002019FA"/>
    <w:pPr>
      <w:autoSpaceDE w:val="0"/>
      <w:autoSpaceDN w:val="0"/>
      <w:adjustRightInd w:val="0"/>
    </w:pPr>
    <w:rPr>
      <w:rFonts w:ascii="Times New Roman" w:hAnsi="Times New Roman"/>
      <w:color w:val="000000"/>
      <w:sz w:val="24"/>
      <w:szCs w:val="24"/>
    </w:rPr>
  </w:style>
  <w:style w:type="paragraph" w:customStyle="1" w:styleId="BodyTextIndent0">
    <w:name w:val="Body Text Indent_0"/>
    <w:basedOn w:val="Normal0"/>
    <w:semiHidden/>
    <w:pPr>
      <w:spacing w:after="240"/>
      <w:ind w:firstLine="1134"/>
      <w:jc w:val="both"/>
    </w:pPr>
    <w:rPr>
      <w:rFonts w:ascii="Arial" w:hAnsi="Arial"/>
      <w:b/>
      <w:bCs/>
      <w:color w:val="FF0000"/>
      <w:sz w:val="24"/>
      <w:szCs w:val="24"/>
    </w:rPr>
  </w:style>
  <w:style w:type="paragraph" w:customStyle="1" w:styleId="Heading10">
    <w:name w:val="Heading 1_0"/>
    <w:basedOn w:val="Normal0"/>
    <w:next w:val="Normal0"/>
    <w:qFormat/>
    <w:pPr>
      <w:keepNext/>
      <w:spacing w:before="240" w:after="480"/>
      <w:jc w:val="center"/>
      <w:outlineLvl w:val="0"/>
    </w:pPr>
    <w:rPr>
      <w:rFonts w:ascii="Arial" w:hAnsi="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s\aganzabal\Desktop\POLICIA\PLANTILLAS\OPPP_PCCOMU01_COM_Autoriz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46F1B6-9700-488A-AA28-044F6D42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OPPP_PCCOMU01_COM_Autorizacion.dotx</Template>
  <TotalTime>181</TotalTime>
  <Pages>3</Pages>
  <Words>1114</Words>
  <Characters>8886</Characters>
  <Application>Microsoft Office Word</Application>
  <DocSecurity>0</DocSecurity>
  <Lines>74</Lines>
  <Paragraphs>19</Paragraphs>
  <ScaleCrop>false</ScaleCrop>
  <HeadingPairs>
    <vt:vector size="2" baseType="variant">
      <vt:variant>
        <vt:lpstr>Título</vt:lpstr>
      </vt:variant>
      <vt:variant>
        <vt:i4>1</vt:i4>
      </vt:variant>
    </vt:vector>
  </HeadingPairs>
  <TitlesOfParts>
    <vt:vector size="1" baseType="lpstr">
      <vt:lpstr>Informe de autorización</vt:lpstr>
    </vt:vector>
  </TitlesOfParts>
  <Company>Estudios GiS</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autorización</dc:title>
  <dc:subject>Permisos de policía</dc:subject>
  <dc:creator>DFA</dc:creator>
  <cp:lastModifiedBy>Urien Salterain, Karoline</cp:lastModifiedBy>
  <cp:revision>9</cp:revision>
  <cp:lastPrinted>2015-02-16T14:04:00Z</cp:lastPrinted>
  <dcterms:created xsi:type="dcterms:W3CDTF">2023-10-23T07:05:00Z</dcterms:created>
  <dcterms:modified xsi:type="dcterms:W3CDTF">2023-10-23T10:07:00Z</dcterms:modified>
</cp:coreProperties>
</file>