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E6A6" w14:textId="77777777" w:rsidR="00BB4BE5" w:rsidRDefault="00BB4BE5">
      <w:pPr>
        <w:rPr>
          <w:u w:val="single"/>
        </w:rPr>
      </w:pPr>
      <w:bookmarkStart w:id="0" w:name="_Hlk158797771"/>
    </w:p>
    <w:p w14:paraId="056958A2" w14:textId="77777777" w:rsidR="00BB4BE5" w:rsidRPr="00D221EB" w:rsidRDefault="00BB4BE5"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1" w:name="RESOLUCION"/>
    </w:p>
    <w:p w14:paraId="3579E8AA" w14:textId="6101F0A3" w:rsidR="00BB4BE5" w:rsidRPr="00337481" w:rsidRDefault="008A1962" w:rsidP="00E72919">
      <w:pPr>
        <w:pStyle w:val="Normal0"/>
        <w:spacing w:before="240" w:after="480"/>
        <w:rPr>
          <w:b/>
          <w:sz w:val="22"/>
          <w:szCs w:val="22"/>
        </w:rPr>
      </w:pPr>
      <w:r>
        <w:rPr>
          <w:b/>
          <w:sz w:val="22"/>
          <w:szCs w:val="22"/>
        </w:rPr>
        <w:t>RESOLUCIÓN</w:t>
      </w:r>
      <w:r w:rsidR="001F5FA6">
        <w:rPr>
          <w:b/>
          <w:sz w:val="22"/>
          <w:szCs w:val="22"/>
        </w:rPr>
        <w:t xml:space="preserve"> 926 de 13 de febrero de 2024</w:t>
      </w:r>
    </w:p>
    <w:p w14:paraId="20DF82DF" w14:textId="77777777" w:rsidR="00BB4BE5" w:rsidRPr="00CE254D" w:rsidRDefault="008A1962" w:rsidP="00E72919">
      <w:pPr>
        <w:pStyle w:val="Normal0"/>
        <w:tabs>
          <w:tab w:val="right" w:pos="8789"/>
        </w:tabs>
        <w:spacing w:after="440"/>
        <w:rPr>
          <w:i/>
          <w:iCs/>
          <w:sz w:val="22"/>
          <w:lang w:val="es-ES"/>
        </w:rPr>
      </w:pPr>
      <w:r w:rsidRPr="00337481">
        <w:rPr>
          <w:i/>
          <w:sz w:val="22"/>
          <w:lang w:val="es-ES"/>
        </w:rPr>
        <w:t xml:space="preserve">Servicio de </w:t>
      </w:r>
      <w:r>
        <w:rPr>
          <w:i/>
          <w:sz w:val="22"/>
          <w:lang w:val="es-ES"/>
        </w:rPr>
        <w:t>Secretaría Técnica de Función Pública</w:t>
      </w:r>
      <w:r>
        <w:rPr>
          <w:i/>
          <w:sz w:val="22"/>
          <w:lang w:val="es-ES"/>
        </w:rPr>
        <w:br/>
        <w:t xml:space="preserve">Nº Expte: </w:t>
      </w:r>
      <w:r w:rsidRPr="0048374C">
        <w:rPr>
          <w:i/>
          <w:sz w:val="22"/>
          <w:lang w:val="es-ES"/>
        </w:rPr>
        <w:t>230/2023</w:t>
      </w:r>
    </w:p>
    <w:p w14:paraId="39AC78EF" w14:textId="4ED5F208" w:rsidR="00BB4BE5" w:rsidRDefault="008A1962" w:rsidP="008A1962">
      <w:pPr>
        <w:pStyle w:val="BodyTextIndent0"/>
        <w:shd w:val="clear" w:color="auto" w:fill="FFFFFF" w:themeFill="background1"/>
        <w:ind w:firstLine="0"/>
        <w:rPr>
          <w:rFonts w:ascii="Times New Roman" w:hAnsi="Times New Roman"/>
          <w:bCs/>
          <w:color w:val="auto"/>
          <w:sz w:val="22"/>
        </w:rPr>
      </w:pPr>
      <w:r w:rsidRPr="00B973BA">
        <w:rPr>
          <w:rFonts w:ascii="Times New Roman" w:hAnsi="Times New Roman"/>
          <w:bCs/>
          <w:color w:val="auto"/>
          <w:sz w:val="22"/>
        </w:rPr>
        <w:t>Inadmitir la solicitud de acceso a información pública presentada por</w:t>
      </w:r>
      <w:r w:rsidRPr="008A1962">
        <w:rPr>
          <w:rFonts w:ascii="Times New Roman" w:hAnsi="Times New Roman"/>
          <w:b w:val="0"/>
          <w:color w:val="auto"/>
          <w:sz w:val="22"/>
          <w:szCs w:val="22"/>
          <w:lang w:eastAsia="es-ES"/>
        </w:rPr>
        <w:t xml:space="preserve"> </w:t>
      </w:r>
      <w:r w:rsidRPr="008A1962">
        <w:rPr>
          <w:rFonts w:ascii="Times New Roman" w:hAnsi="Times New Roman"/>
          <w:b w:val="0"/>
          <w:color w:val="000000" w:themeColor="text1"/>
          <w:sz w:val="22"/>
          <w:szCs w:val="22"/>
          <w:shd w:val="clear" w:color="auto" w:fill="000000" w:themeFill="text1"/>
          <w:lang w:eastAsia="es-ES"/>
        </w:rPr>
        <w:t>xxxxxxxx</w:t>
      </w:r>
      <w:r w:rsidRPr="00B973BA">
        <w:rPr>
          <w:rFonts w:ascii="Times New Roman" w:hAnsi="Times New Roman"/>
          <w:bCs/>
          <w:color w:val="auto"/>
          <w:sz w:val="22"/>
        </w:rPr>
        <w:t xml:space="preserve"> por tener un carácter abusivo no justificado con una finalidad amparada legalmente.</w:t>
      </w:r>
    </w:p>
    <w:p w14:paraId="28A82D16" w14:textId="77777377" w:rsidR="00BB4BE5" w:rsidRDefault="008A1962" w:rsidP="00FF2D6C">
      <w:pPr>
        <w:pStyle w:val="Normal0"/>
        <w:tabs>
          <w:tab w:val="right" w:pos="8789"/>
        </w:tabs>
        <w:jc w:val="both"/>
        <w:rPr>
          <w:sz w:val="22"/>
          <w:szCs w:val="22"/>
        </w:rPr>
      </w:pPr>
      <w:r w:rsidRPr="00FF2D6C">
        <w:rPr>
          <w:sz w:val="22"/>
          <w:szCs w:val="22"/>
        </w:rPr>
        <w:t xml:space="preserve">En fecha 13 de diciembre de 2023 se presenta por parte de </w:t>
      </w:r>
      <w:r w:rsidRPr="008A1962">
        <w:rPr>
          <w:b/>
          <w:color w:val="000000" w:themeColor="text1"/>
          <w:sz w:val="22"/>
          <w:szCs w:val="22"/>
          <w:shd w:val="clear" w:color="auto" w:fill="000000" w:themeFill="text1"/>
        </w:rPr>
        <w:t>xxxxxxxx</w:t>
      </w:r>
      <w:r w:rsidRPr="00FF2D6C">
        <w:rPr>
          <w:sz w:val="22"/>
          <w:szCs w:val="22"/>
        </w:rPr>
        <w:t xml:space="preserve"> solicitud de información pública por la que requiere la siguiente info</w:t>
      </w:r>
      <w:r w:rsidRPr="00FF2D6C">
        <w:rPr>
          <w:sz w:val="22"/>
          <w:szCs w:val="22"/>
        </w:rPr>
        <w:t>rmación: «</w:t>
      </w:r>
      <w:r w:rsidRPr="004D1BC9">
        <w:rPr>
          <w:i/>
          <w:iCs/>
          <w:sz w:val="22"/>
          <w:szCs w:val="22"/>
        </w:rPr>
        <w:t>OPE 2016 – DERECHO (12516): Solicito copia de los 10 exámenes prácticos que obtuvieron la mayor puntuación en la OPE 2016 – DERECHO (12516)</w:t>
      </w:r>
      <w:r w:rsidRPr="00FF2D6C">
        <w:rPr>
          <w:sz w:val="22"/>
          <w:szCs w:val="22"/>
        </w:rPr>
        <w:t>».</w:t>
      </w:r>
    </w:p>
    <w:p w14:paraId="56D66AAD" w14:textId="77777777" w:rsidR="00BB4BE5" w:rsidRPr="00FF2D6C" w:rsidRDefault="00BB4BE5" w:rsidP="00FF2D6C">
      <w:pPr>
        <w:pStyle w:val="Normal0"/>
        <w:tabs>
          <w:tab w:val="right" w:pos="8789"/>
        </w:tabs>
        <w:jc w:val="both"/>
        <w:rPr>
          <w:sz w:val="22"/>
          <w:szCs w:val="22"/>
        </w:rPr>
      </w:pPr>
    </w:p>
    <w:p w14:paraId="7AC745D6" w14:textId="77777777" w:rsidR="00BB4BE5" w:rsidRDefault="008A1962" w:rsidP="00FF2D6C">
      <w:pPr>
        <w:pStyle w:val="Normal0"/>
        <w:tabs>
          <w:tab w:val="right" w:pos="8789"/>
        </w:tabs>
        <w:jc w:val="both"/>
        <w:rPr>
          <w:sz w:val="22"/>
          <w:szCs w:val="22"/>
        </w:rPr>
      </w:pPr>
      <w:r w:rsidRPr="00FF2D6C">
        <w:rPr>
          <w:sz w:val="22"/>
          <w:szCs w:val="22"/>
        </w:rPr>
        <w:t>Consultado los registros de est</w:t>
      </w:r>
      <w:r>
        <w:rPr>
          <w:sz w:val="22"/>
          <w:szCs w:val="22"/>
        </w:rPr>
        <w:t>a Dirección</w:t>
      </w:r>
      <w:r w:rsidRPr="00FF2D6C">
        <w:rPr>
          <w:sz w:val="22"/>
          <w:szCs w:val="22"/>
        </w:rPr>
        <w:t xml:space="preserve"> no consta que la solicitante participara en dicho proceso selectivo cuya información requiere.</w:t>
      </w:r>
    </w:p>
    <w:p w14:paraId="49CF1E86" w14:textId="77777777" w:rsidR="00BB4BE5" w:rsidRPr="00FF2D6C" w:rsidRDefault="00BB4BE5" w:rsidP="00FF2D6C">
      <w:pPr>
        <w:pStyle w:val="Normal0"/>
        <w:tabs>
          <w:tab w:val="right" w:pos="8789"/>
        </w:tabs>
        <w:jc w:val="both"/>
        <w:rPr>
          <w:sz w:val="22"/>
          <w:szCs w:val="22"/>
        </w:rPr>
      </w:pPr>
    </w:p>
    <w:p w14:paraId="29D2D738" w14:textId="77777777" w:rsidR="00BB4BE5" w:rsidRDefault="008A1962" w:rsidP="00FF2D6C">
      <w:pPr>
        <w:pStyle w:val="Normal0"/>
        <w:tabs>
          <w:tab w:val="right" w:pos="8789"/>
        </w:tabs>
        <w:jc w:val="both"/>
        <w:rPr>
          <w:sz w:val="22"/>
          <w:szCs w:val="22"/>
        </w:rPr>
      </w:pPr>
      <w:r w:rsidRPr="00FF2D6C">
        <w:rPr>
          <w:sz w:val="22"/>
          <w:szCs w:val="22"/>
        </w:rPr>
        <w:t>El plazo máximo para resolver y notificar es de un mes –ex. art</w:t>
      </w:r>
      <w:r>
        <w:rPr>
          <w:sz w:val="22"/>
          <w:szCs w:val="22"/>
        </w:rPr>
        <w:t xml:space="preserve">ículo </w:t>
      </w:r>
      <w:r w:rsidRPr="00FF2D6C">
        <w:rPr>
          <w:sz w:val="22"/>
          <w:szCs w:val="22"/>
        </w:rPr>
        <w:t>35.2 de la Norma Foral 1/2017, de 8 febrero, de transparencia, participación ciudadana y b</w:t>
      </w:r>
      <w:r w:rsidRPr="00FF2D6C">
        <w:rPr>
          <w:sz w:val="22"/>
          <w:szCs w:val="22"/>
        </w:rPr>
        <w:t>uen gobierno del sector público del Territorio Histórico de Álava, en adelante «NF 1/2017»; en relación con el art. 20.1 de la Ley 19/2013, de 9 de diciembre, de transparencia, acceso a la información pública y buen gobierno, en adelante, «LTAIBG»-, entend</w:t>
      </w:r>
      <w:r w:rsidRPr="00FF2D6C">
        <w:rPr>
          <w:sz w:val="22"/>
          <w:szCs w:val="22"/>
        </w:rPr>
        <w:t>iéndose que transcurrido el mismo la solicitud ha sido desestimada, lo cual no exime a esta Administración de su obligación de dictar resolución expresa al efecto – ex art.21.1 de la Ley 39/2015, de 1 de octubre, del Procedimiento Administrativo Común – en</w:t>
      </w:r>
      <w:r w:rsidRPr="00FF2D6C">
        <w:rPr>
          <w:sz w:val="22"/>
          <w:szCs w:val="22"/>
        </w:rPr>
        <w:t xml:space="preserve"> adelante, «LPACAP»-.</w:t>
      </w:r>
    </w:p>
    <w:p w14:paraId="18973F56" w14:textId="77777777" w:rsidR="00BB4BE5" w:rsidRDefault="00BB4BE5" w:rsidP="00D33F48">
      <w:pPr>
        <w:pStyle w:val="Normal0"/>
        <w:tabs>
          <w:tab w:val="right" w:pos="8789"/>
        </w:tabs>
        <w:jc w:val="both"/>
        <w:rPr>
          <w:sz w:val="22"/>
          <w:szCs w:val="22"/>
        </w:rPr>
      </w:pPr>
    </w:p>
    <w:p w14:paraId="7D657E5C" w14:textId="77777777" w:rsidR="00BB4BE5" w:rsidRPr="00FF2D6C" w:rsidRDefault="008A1962" w:rsidP="00FF2D6C">
      <w:pPr>
        <w:pStyle w:val="Normal0"/>
        <w:tabs>
          <w:tab w:val="right" w:pos="8789"/>
        </w:tabs>
        <w:jc w:val="both"/>
        <w:rPr>
          <w:sz w:val="22"/>
          <w:szCs w:val="22"/>
        </w:rPr>
      </w:pPr>
      <w:r w:rsidRPr="00FF2D6C">
        <w:rPr>
          <w:sz w:val="22"/>
          <w:szCs w:val="22"/>
        </w:rPr>
        <w:t>La interesada ha presentado una solicitud de acceso a la información pública, por lo que parece sustentarse en el artículo 30 NF 1/2017</w:t>
      </w:r>
      <w:r>
        <w:rPr>
          <w:sz w:val="22"/>
          <w:szCs w:val="22"/>
        </w:rPr>
        <w:t>,</w:t>
      </w:r>
      <w:r w:rsidRPr="00FF2D6C">
        <w:rPr>
          <w:sz w:val="22"/>
          <w:szCs w:val="22"/>
        </w:rPr>
        <w:t xml:space="preserve"> relativo al «</w:t>
      </w:r>
      <w:r w:rsidRPr="00FF2D6C">
        <w:rPr>
          <w:i/>
          <w:iCs/>
          <w:sz w:val="22"/>
          <w:szCs w:val="22"/>
        </w:rPr>
        <w:t>Ejercicio del derecho de acceso a la información pública</w:t>
      </w:r>
      <w:r w:rsidRPr="00FF2D6C">
        <w:rPr>
          <w:sz w:val="22"/>
          <w:szCs w:val="22"/>
        </w:rPr>
        <w:t xml:space="preserve">», el cual guarda relación </w:t>
      </w:r>
      <w:r w:rsidRPr="00FF2D6C">
        <w:rPr>
          <w:sz w:val="22"/>
          <w:szCs w:val="22"/>
        </w:rPr>
        <w:t>con el artículo 12 LTAIBG</w:t>
      </w:r>
      <w:r>
        <w:rPr>
          <w:sz w:val="22"/>
          <w:szCs w:val="22"/>
        </w:rPr>
        <w:t>.</w:t>
      </w:r>
    </w:p>
    <w:p w14:paraId="39AD9180" w14:textId="77777777" w:rsidR="00BB4BE5" w:rsidRPr="00FF2D6C" w:rsidRDefault="00BB4BE5" w:rsidP="00FF2D6C">
      <w:pPr>
        <w:pStyle w:val="Normal0"/>
        <w:tabs>
          <w:tab w:val="right" w:pos="8789"/>
        </w:tabs>
        <w:jc w:val="both"/>
        <w:rPr>
          <w:sz w:val="22"/>
          <w:szCs w:val="22"/>
        </w:rPr>
      </w:pPr>
    </w:p>
    <w:p w14:paraId="52B39B90" w14:textId="77777777" w:rsidR="00BB4BE5" w:rsidRPr="00FF2D6C" w:rsidRDefault="008A1962" w:rsidP="00FF2D6C">
      <w:pPr>
        <w:pStyle w:val="Normal0"/>
        <w:tabs>
          <w:tab w:val="right" w:pos="8789"/>
        </w:tabs>
        <w:jc w:val="both"/>
        <w:rPr>
          <w:sz w:val="22"/>
          <w:szCs w:val="22"/>
        </w:rPr>
      </w:pPr>
      <w:r w:rsidRPr="00FF2D6C">
        <w:rPr>
          <w:sz w:val="22"/>
          <w:szCs w:val="22"/>
        </w:rPr>
        <w:t xml:space="preserve">No obstante, ha de tenerse en consideración que la persona solicitante no participó en el proceso selectivo cuya información solicita, por lo que, en ningún caso, tendría la condición de interesada en virtud del artículo 53.1.a </w:t>
      </w:r>
      <w:r w:rsidRPr="00FF2D6C">
        <w:rPr>
          <w:sz w:val="22"/>
          <w:szCs w:val="22"/>
        </w:rPr>
        <w:t>LPACAP, que reconoce a los participantes en un proceso selectivo el derecho a acceder a los exámenes realizado por los demás aspirantes, teniendo presente que ese derecho no es absoluto e ilimitado.</w:t>
      </w:r>
    </w:p>
    <w:p w14:paraId="4F63C8C4" w14:textId="77777777" w:rsidR="00BB4BE5" w:rsidRPr="00FF2D6C" w:rsidRDefault="00BB4BE5" w:rsidP="00FF2D6C">
      <w:pPr>
        <w:pStyle w:val="Normal0"/>
        <w:tabs>
          <w:tab w:val="right" w:pos="8789"/>
        </w:tabs>
        <w:jc w:val="both"/>
        <w:rPr>
          <w:sz w:val="22"/>
          <w:szCs w:val="22"/>
        </w:rPr>
      </w:pPr>
    </w:p>
    <w:p w14:paraId="4219DECB" w14:textId="77777777" w:rsidR="00BB4BE5" w:rsidRDefault="008A1962" w:rsidP="00FF2D6C">
      <w:pPr>
        <w:pStyle w:val="Normal0"/>
        <w:tabs>
          <w:tab w:val="right" w:pos="8789"/>
        </w:tabs>
        <w:jc w:val="both"/>
        <w:rPr>
          <w:sz w:val="22"/>
          <w:szCs w:val="22"/>
        </w:rPr>
      </w:pPr>
      <w:r w:rsidRPr="00FF2D6C">
        <w:rPr>
          <w:sz w:val="22"/>
          <w:szCs w:val="22"/>
        </w:rPr>
        <w:t>Una vez descarta la presentación de la presente solicitu</w:t>
      </w:r>
      <w:r w:rsidRPr="00FF2D6C">
        <w:rPr>
          <w:sz w:val="22"/>
          <w:szCs w:val="22"/>
        </w:rPr>
        <w:t>d como interesada del artículo 53.1.a LPACAP, cabe entrar a analizar si se incurren alguna causa de inadmisión recogidas en la NF 1/2017 y LTAIBG.</w:t>
      </w:r>
    </w:p>
    <w:p w14:paraId="7584F88B" w14:textId="77777777" w:rsidR="00BB4BE5" w:rsidRDefault="00BB4BE5" w:rsidP="00FF2D6C">
      <w:pPr>
        <w:pStyle w:val="Normal0"/>
        <w:tabs>
          <w:tab w:val="right" w:pos="8789"/>
        </w:tabs>
        <w:jc w:val="both"/>
        <w:rPr>
          <w:sz w:val="22"/>
          <w:szCs w:val="22"/>
        </w:rPr>
      </w:pPr>
    </w:p>
    <w:p w14:paraId="093FF4CB" w14:textId="77777777" w:rsidR="00BB4BE5" w:rsidRPr="00FF2D6C" w:rsidRDefault="008A1962" w:rsidP="00FF2D6C">
      <w:pPr>
        <w:pStyle w:val="Normal0"/>
        <w:tabs>
          <w:tab w:val="right" w:pos="8789"/>
        </w:tabs>
        <w:jc w:val="both"/>
        <w:rPr>
          <w:sz w:val="22"/>
          <w:szCs w:val="22"/>
        </w:rPr>
      </w:pPr>
      <w:r w:rsidRPr="00FF2D6C">
        <w:rPr>
          <w:sz w:val="22"/>
          <w:szCs w:val="22"/>
        </w:rPr>
        <w:t xml:space="preserve">El artículo 34 NF 1/2017 estatuye las reglas especiales en la aplicación de las causas de inadmisión de las </w:t>
      </w:r>
      <w:r w:rsidRPr="00FF2D6C">
        <w:rPr>
          <w:sz w:val="22"/>
          <w:szCs w:val="22"/>
        </w:rPr>
        <w:t>solicitudes de acceso, disponiendo que:</w:t>
      </w:r>
    </w:p>
    <w:p w14:paraId="759ED2CE" w14:textId="77777777" w:rsidR="00BB4BE5" w:rsidRPr="00FF2D6C" w:rsidRDefault="00BB4BE5" w:rsidP="00FF2D6C">
      <w:pPr>
        <w:pStyle w:val="Normal0"/>
        <w:tabs>
          <w:tab w:val="right" w:pos="8789"/>
        </w:tabs>
        <w:jc w:val="both"/>
        <w:rPr>
          <w:sz w:val="22"/>
          <w:szCs w:val="22"/>
        </w:rPr>
      </w:pPr>
    </w:p>
    <w:p w14:paraId="690A187A" w14:textId="77777777" w:rsidR="00BB4BE5" w:rsidRPr="00E057F9" w:rsidRDefault="008A1962" w:rsidP="004D1BC9">
      <w:pPr>
        <w:pStyle w:val="Normal0"/>
        <w:tabs>
          <w:tab w:val="right" w:pos="8789"/>
        </w:tabs>
        <w:ind w:left="708"/>
        <w:jc w:val="both"/>
        <w:rPr>
          <w:b/>
          <w:bCs/>
          <w:i/>
          <w:iCs/>
          <w:u w:val="single"/>
        </w:rPr>
      </w:pPr>
      <w:r w:rsidRPr="004D1BC9">
        <w:rPr>
          <w:i/>
          <w:iCs/>
        </w:rPr>
        <w:t>«</w:t>
      </w:r>
      <w:r w:rsidRPr="00E057F9">
        <w:rPr>
          <w:b/>
          <w:bCs/>
          <w:i/>
          <w:iCs/>
          <w:u w:val="single"/>
        </w:rPr>
        <w:t xml:space="preserve">1. Serán de aplicación las causas de inadmisión de solicitudes de acceso previstas en la legislación básica. </w:t>
      </w:r>
    </w:p>
    <w:p w14:paraId="4359F309" w14:textId="77777777" w:rsidR="00BB4BE5" w:rsidRPr="004D1BC9" w:rsidRDefault="008A1962" w:rsidP="004D1BC9">
      <w:pPr>
        <w:pStyle w:val="Normal0"/>
        <w:tabs>
          <w:tab w:val="right" w:pos="8789"/>
        </w:tabs>
        <w:ind w:left="708"/>
        <w:jc w:val="both"/>
        <w:rPr>
          <w:i/>
          <w:iCs/>
        </w:rPr>
      </w:pPr>
      <w:r w:rsidRPr="004D1BC9">
        <w:rPr>
          <w:i/>
          <w:iCs/>
        </w:rPr>
        <w:t>2. Se seguirán las siguientes reglas en la aplicación de las causas de inadmisión de las solicitudes de acceso previstas en la legislación básica:</w:t>
      </w:r>
      <w:r w:rsidRPr="004D1BC9">
        <w:rPr>
          <w:i/>
          <w:iCs/>
        </w:rPr>
        <w:t xml:space="preserve"> </w:t>
      </w:r>
    </w:p>
    <w:p w14:paraId="6CCD7DA1" w14:textId="77777777" w:rsidR="00BB4BE5" w:rsidRPr="004D1BC9" w:rsidRDefault="008A1962" w:rsidP="004D1BC9">
      <w:pPr>
        <w:pStyle w:val="Normal0"/>
        <w:tabs>
          <w:tab w:val="right" w:pos="8789"/>
        </w:tabs>
        <w:ind w:left="708"/>
        <w:jc w:val="both"/>
        <w:rPr>
          <w:i/>
          <w:iCs/>
        </w:rPr>
      </w:pPr>
      <w:r w:rsidRPr="004D1BC9">
        <w:rPr>
          <w:i/>
          <w:iCs/>
        </w:rPr>
        <w:t xml:space="preserve">a) De acuerdo con el principio de máxima accesibilidad recogido en el artículo 16, las causas de inadmisión se interpretarán de forma restrictiva. </w:t>
      </w:r>
    </w:p>
    <w:p w14:paraId="22596FC4" w14:textId="77777777" w:rsidR="00BB4BE5" w:rsidRPr="004D1BC9" w:rsidRDefault="008A1962" w:rsidP="004D1BC9">
      <w:pPr>
        <w:pStyle w:val="Normal0"/>
        <w:tabs>
          <w:tab w:val="right" w:pos="8789"/>
        </w:tabs>
        <w:ind w:left="708"/>
        <w:jc w:val="both"/>
        <w:rPr>
          <w:i/>
          <w:iCs/>
        </w:rPr>
      </w:pPr>
      <w:r w:rsidRPr="004D1BC9">
        <w:rPr>
          <w:i/>
          <w:iCs/>
        </w:rPr>
        <w:t>b) Cuando no se admita la solicitud porque la información está en curso de elaboración o publicación gener</w:t>
      </w:r>
      <w:r w:rsidRPr="004D1BC9">
        <w:rPr>
          <w:i/>
          <w:iCs/>
        </w:rPr>
        <w:t xml:space="preserve">al, la resolución de inadmisión deberá especificar el órgano que elabora dicha información y el tiempo previsto para su conclusión y puesta a disposición. </w:t>
      </w:r>
    </w:p>
    <w:p w14:paraId="5C2189CB" w14:textId="77777777" w:rsidR="00BB4BE5" w:rsidRPr="004D1BC9" w:rsidRDefault="008A1962" w:rsidP="004D1BC9">
      <w:pPr>
        <w:pStyle w:val="Normal0"/>
        <w:tabs>
          <w:tab w:val="right" w:pos="8789"/>
        </w:tabs>
        <w:ind w:left="708"/>
        <w:jc w:val="both"/>
        <w:rPr>
          <w:i/>
          <w:iCs/>
        </w:rPr>
      </w:pPr>
      <w:r w:rsidRPr="004D1BC9">
        <w:rPr>
          <w:i/>
          <w:iCs/>
        </w:rPr>
        <w:t>c) Los informes preceptivos no tendrán la consideración de información de carácter auxiliar o de apo</w:t>
      </w:r>
      <w:r w:rsidRPr="004D1BC9">
        <w:rPr>
          <w:i/>
          <w:iCs/>
        </w:rPr>
        <w:t xml:space="preserve">yo. </w:t>
      </w:r>
    </w:p>
    <w:p w14:paraId="0DB0178D" w14:textId="77777777" w:rsidR="00BB4BE5" w:rsidRPr="004D1BC9" w:rsidRDefault="008A1962" w:rsidP="004D1BC9">
      <w:pPr>
        <w:pStyle w:val="Normal0"/>
        <w:tabs>
          <w:tab w:val="right" w:pos="8789"/>
        </w:tabs>
        <w:ind w:left="708"/>
        <w:jc w:val="both"/>
        <w:rPr>
          <w:i/>
          <w:iCs/>
        </w:rPr>
      </w:pPr>
      <w:r w:rsidRPr="004D1BC9">
        <w:rPr>
          <w:i/>
          <w:iCs/>
        </w:rPr>
        <w:t>d) Cuando la información solicitada pueda obtenerse mediante un tratamiento informatizado de uso corriente, no se considerará reelaboración de la información».</w:t>
      </w:r>
    </w:p>
    <w:p w14:paraId="378437CB" w14:textId="77777777" w:rsidR="00BB4BE5" w:rsidRPr="004D1BC9" w:rsidRDefault="00BB4BE5" w:rsidP="004D1BC9">
      <w:pPr>
        <w:pStyle w:val="Normal0"/>
        <w:tabs>
          <w:tab w:val="right" w:pos="8789"/>
        </w:tabs>
        <w:ind w:left="708"/>
        <w:jc w:val="both"/>
        <w:rPr>
          <w:i/>
          <w:iCs/>
          <w:sz w:val="22"/>
          <w:szCs w:val="22"/>
        </w:rPr>
      </w:pPr>
    </w:p>
    <w:p w14:paraId="665D29BB" w14:textId="77777777" w:rsidR="00BB4BE5" w:rsidRPr="004D1BC9" w:rsidRDefault="008A1962" w:rsidP="004D1BC9">
      <w:pPr>
        <w:pStyle w:val="Normal0"/>
        <w:tabs>
          <w:tab w:val="right" w:pos="8789"/>
        </w:tabs>
        <w:ind w:left="708"/>
        <w:jc w:val="both"/>
        <w:rPr>
          <w:sz w:val="22"/>
          <w:szCs w:val="22"/>
        </w:rPr>
      </w:pPr>
      <w:r w:rsidRPr="004D1BC9">
        <w:rPr>
          <w:sz w:val="22"/>
          <w:szCs w:val="22"/>
        </w:rPr>
        <w:t>(El destacado es nuestro)</w:t>
      </w:r>
    </w:p>
    <w:p w14:paraId="1F16D39C" w14:textId="77777777" w:rsidR="00BB4BE5" w:rsidRPr="00FF2D6C" w:rsidRDefault="00BB4BE5" w:rsidP="00FF2D6C">
      <w:pPr>
        <w:pStyle w:val="Normal0"/>
        <w:tabs>
          <w:tab w:val="right" w:pos="8789"/>
        </w:tabs>
        <w:jc w:val="both"/>
        <w:rPr>
          <w:sz w:val="22"/>
          <w:szCs w:val="22"/>
        </w:rPr>
      </w:pPr>
    </w:p>
    <w:p w14:paraId="49C0D7FF" w14:textId="77777777" w:rsidR="00BB4BE5" w:rsidRPr="00FF2D6C" w:rsidRDefault="008A1962" w:rsidP="00FF2D6C">
      <w:pPr>
        <w:pStyle w:val="Normal0"/>
        <w:tabs>
          <w:tab w:val="right" w:pos="8789"/>
        </w:tabs>
        <w:jc w:val="both"/>
        <w:rPr>
          <w:sz w:val="22"/>
          <w:szCs w:val="22"/>
        </w:rPr>
      </w:pPr>
      <w:r w:rsidRPr="00FF2D6C">
        <w:rPr>
          <w:sz w:val="22"/>
          <w:szCs w:val="22"/>
        </w:rPr>
        <w:t xml:space="preserve">Por su parte, el artículo 18.1 LTAIBG, establece las causas de </w:t>
      </w:r>
      <w:r w:rsidRPr="00FF2D6C">
        <w:rPr>
          <w:sz w:val="22"/>
          <w:szCs w:val="22"/>
        </w:rPr>
        <w:t>inadmisión de las solicitudes:</w:t>
      </w:r>
    </w:p>
    <w:p w14:paraId="062B20B1" w14:textId="77777777" w:rsidR="00BB4BE5" w:rsidRPr="00FF2D6C" w:rsidRDefault="00BB4BE5" w:rsidP="00FF2D6C">
      <w:pPr>
        <w:pStyle w:val="Normal0"/>
        <w:tabs>
          <w:tab w:val="right" w:pos="8789"/>
        </w:tabs>
        <w:jc w:val="both"/>
        <w:rPr>
          <w:sz w:val="22"/>
          <w:szCs w:val="22"/>
        </w:rPr>
      </w:pPr>
    </w:p>
    <w:p w14:paraId="3F91CB9E" w14:textId="77777777" w:rsidR="00BB4BE5" w:rsidRPr="004D1BC9" w:rsidRDefault="008A1962" w:rsidP="004D1BC9">
      <w:pPr>
        <w:pStyle w:val="Normal0"/>
        <w:tabs>
          <w:tab w:val="right" w:pos="8789"/>
        </w:tabs>
        <w:ind w:left="708"/>
        <w:jc w:val="both"/>
        <w:rPr>
          <w:i/>
          <w:iCs/>
        </w:rPr>
      </w:pPr>
      <w:r w:rsidRPr="004D1BC9">
        <w:rPr>
          <w:i/>
          <w:iCs/>
        </w:rPr>
        <w:t>«1. Se inadmitirán a trámite, mediante resolución motivada, las solicitudes:</w:t>
      </w:r>
    </w:p>
    <w:p w14:paraId="573D3168" w14:textId="77777777" w:rsidR="00BB4BE5" w:rsidRPr="004D1BC9" w:rsidRDefault="008A1962" w:rsidP="004D1BC9">
      <w:pPr>
        <w:pStyle w:val="Normal0"/>
        <w:tabs>
          <w:tab w:val="right" w:pos="8789"/>
        </w:tabs>
        <w:ind w:left="708"/>
        <w:jc w:val="both"/>
        <w:rPr>
          <w:i/>
          <w:iCs/>
        </w:rPr>
      </w:pPr>
      <w:r w:rsidRPr="004D1BC9">
        <w:rPr>
          <w:i/>
          <w:iCs/>
        </w:rPr>
        <w:t>a) Que se refieran a información que esté en curso de elaboración o de publicación general.</w:t>
      </w:r>
    </w:p>
    <w:p w14:paraId="619D47C8" w14:textId="77777777" w:rsidR="00BB4BE5" w:rsidRPr="004D1BC9" w:rsidRDefault="008A1962" w:rsidP="004D1BC9">
      <w:pPr>
        <w:pStyle w:val="Normal0"/>
        <w:tabs>
          <w:tab w:val="right" w:pos="8789"/>
        </w:tabs>
        <w:ind w:left="708"/>
        <w:jc w:val="both"/>
        <w:rPr>
          <w:i/>
          <w:iCs/>
        </w:rPr>
      </w:pPr>
      <w:r w:rsidRPr="004D1BC9">
        <w:rPr>
          <w:i/>
          <w:iCs/>
        </w:rPr>
        <w:t xml:space="preserve">b) Referidas a información que tenga carácter </w:t>
      </w:r>
      <w:r w:rsidRPr="004D1BC9">
        <w:rPr>
          <w:i/>
          <w:iCs/>
        </w:rPr>
        <w:t>auxiliar o de apoyo como la contenida en notas, borradores, opiniones, resúmenes, comunicaciones e informes internos o entre órganos o entidades administrativas.</w:t>
      </w:r>
    </w:p>
    <w:p w14:paraId="69D7BE29" w14:textId="77777777" w:rsidR="00BB4BE5" w:rsidRPr="004D1BC9" w:rsidRDefault="008A1962" w:rsidP="004D1BC9">
      <w:pPr>
        <w:pStyle w:val="Normal0"/>
        <w:tabs>
          <w:tab w:val="right" w:pos="8789"/>
        </w:tabs>
        <w:ind w:left="708"/>
        <w:jc w:val="both"/>
        <w:rPr>
          <w:i/>
          <w:iCs/>
        </w:rPr>
      </w:pPr>
      <w:r w:rsidRPr="004D1BC9">
        <w:rPr>
          <w:i/>
          <w:iCs/>
        </w:rPr>
        <w:t>c) Relativas a información para cuya divulgación sea necesaria una acción previa de reelaborac</w:t>
      </w:r>
      <w:r w:rsidRPr="004D1BC9">
        <w:rPr>
          <w:i/>
          <w:iCs/>
        </w:rPr>
        <w:t>ión.</w:t>
      </w:r>
    </w:p>
    <w:p w14:paraId="14A72A6D" w14:textId="77777777" w:rsidR="00BB4BE5" w:rsidRPr="004D1BC9" w:rsidRDefault="008A1962" w:rsidP="004D1BC9">
      <w:pPr>
        <w:pStyle w:val="Normal0"/>
        <w:tabs>
          <w:tab w:val="right" w:pos="8789"/>
        </w:tabs>
        <w:ind w:left="708"/>
        <w:jc w:val="both"/>
        <w:rPr>
          <w:i/>
          <w:iCs/>
        </w:rPr>
      </w:pPr>
      <w:r w:rsidRPr="004D1BC9">
        <w:rPr>
          <w:i/>
          <w:iCs/>
        </w:rPr>
        <w:t>d) Dirigidas a un órgano en cuyo poder no obre la información cuando se desconozca el competente.</w:t>
      </w:r>
    </w:p>
    <w:p w14:paraId="6C1350EA" w14:textId="77777777" w:rsidR="00BB4BE5" w:rsidRPr="004D1BC9" w:rsidRDefault="008A1962" w:rsidP="004D1BC9">
      <w:pPr>
        <w:pStyle w:val="Normal0"/>
        <w:tabs>
          <w:tab w:val="right" w:pos="8789"/>
        </w:tabs>
        <w:ind w:left="708"/>
        <w:jc w:val="both"/>
        <w:rPr>
          <w:i/>
          <w:iCs/>
        </w:rPr>
      </w:pPr>
      <w:r w:rsidRPr="004D1BC9">
        <w:rPr>
          <w:i/>
          <w:iCs/>
        </w:rPr>
        <w:t xml:space="preserve">e) Que sean manifiestamente repetitivas </w:t>
      </w:r>
      <w:r w:rsidRPr="00E057F9">
        <w:rPr>
          <w:b/>
          <w:bCs/>
          <w:i/>
          <w:iCs/>
          <w:u w:val="single"/>
        </w:rPr>
        <w:t>o tengan un carácter abusivo no justificado con la finalidad de transparencia de esta Ley</w:t>
      </w:r>
      <w:r w:rsidRPr="004D1BC9">
        <w:rPr>
          <w:i/>
          <w:iCs/>
        </w:rPr>
        <w:t>».</w:t>
      </w:r>
    </w:p>
    <w:p w14:paraId="3C141F7D" w14:textId="77777777" w:rsidR="00BB4BE5" w:rsidRPr="004D1BC9" w:rsidRDefault="00BB4BE5" w:rsidP="004D1BC9">
      <w:pPr>
        <w:pStyle w:val="Normal0"/>
        <w:tabs>
          <w:tab w:val="right" w:pos="8789"/>
        </w:tabs>
        <w:ind w:left="708"/>
        <w:jc w:val="both"/>
        <w:rPr>
          <w:i/>
          <w:iCs/>
        </w:rPr>
      </w:pPr>
    </w:p>
    <w:p w14:paraId="6B08C943" w14:textId="77777777" w:rsidR="00BB4BE5" w:rsidRPr="004D1BC9" w:rsidRDefault="008A1962" w:rsidP="004D1BC9">
      <w:pPr>
        <w:pStyle w:val="Normal0"/>
        <w:tabs>
          <w:tab w:val="right" w:pos="8789"/>
        </w:tabs>
        <w:ind w:left="708"/>
        <w:jc w:val="both"/>
        <w:rPr>
          <w:i/>
          <w:iCs/>
        </w:rPr>
      </w:pPr>
      <w:r w:rsidRPr="004D1BC9">
        <w:rPr>
          <w:i/>
          <w:iCs/>
        </w:rPr>
        <w:t>(El destacado es nue</w:t>
      </w:r>
      <w:r w:rsidRPr="004D1BC9">
        <w:rPr>
          <w:i/>
          <w:iCs/>
        </w:rPr>
        <w:t>stro)</w:t>
      </w:r>
    </w:p>
    <w:p w14:paraId="4B1DFAC9" w14:textId="77777777" w:rsidR="00BB4BE5" w:rsidRPr="00FF2D6C" w:rsidRDefault="00BB4BE5" w:rsidP="00FF2D6C">
      <w:pPr>
        <w:pStyle w:val="Normal0"/>
        <w:tabs>
          <w:tab w:val="right" w:pos="8789"/>
        </w:tabs>
        <w:jc w:val="both"/>
        <w:rPr>
          <w:sz w:val="22"/>
          <w:szCs w:val="22"/>
        </w:rPr>
      </w:pPr>
    </w:p>
    <w:p w14:paraId="582ADD24" w14:textId="77777777" w:rsidR="00BB4BE5" w:rsidRPr="00FF2D6C" w:rsidRDefault="008A1962" w:rsidP="00FF2D6C">
      <w:pPr>
        <w:pStyle w:val="Normal0"/>
        <w:tabs>
          <w:tab w:val="right" w:pos="8789"/>
        </w:tabs>
        <w:jc w:val="both"/>
        <w:rPr>
          <w:sz w:val="22"/>
          <w:szCs w:val="22"/>
        </w:rPr>
      </w:pPr>
      <w:r w:rsidRPr="00FF2D6C">
        <w:rPr>
          <w:sz w:val="22"/>
          <w:szCs w:val="22"/>
        </w:rPr>
        <w:t xml:space="preserve">Al albur de los preceptos citados, se deduce, en primer lugar, que existe una remisión normativa por parte de la NF 1/2017 a las causas contempladas en el artículo 18 LTAIBG; y, en segundo término, que, y en lo que aquí interesa, el citado artículo </w:t>
      </w:r>
      <w:r w:rsidRPr="00FF2D6C">
        <w:rPr>
          <w:sz w:val="22"/>
          <w:szCs w:val="22"/>
        </w:rPr>
        <w:t xml:space="preserve">18, en la letra </w:t>
      </w:r>
      <w:r>
        <w:rPr>
          <w:sz w:val="22"/>
          <w:szCs w:val="22"/>
        </w:rPr>
        <w:t>e</w:t>
      </w:r>
      <w:r w:rsidRPr="00FF2D6C">
        <w:rPr>
          <w:sz w:val="22"/>
          <w:szCs w:val="22"/>
        </w:rPr>
        <w:t xml:space="preserve">) de su apartado primero, establece dos requisitos para que pueda operar la causa de inadmisión en el contenida: que tenga un carácter abusivo, y que este carácter abusivo no encuentre amparo en la finalidad de la ley, por lo que hemos de </w:t>
      </w:r>
      <w:r w:rsidRPr="00FF2D6C">
        <w:rPr>
          <w:sz w:val="22"/>
          <w:szCs w:val="22"/>
        </w:rPr>
        <w:t>definir en primera instancia los objetivos y fines que constituyen esta finalidad.</w:t>
      </w:r>
    </w:p>
    <w:p w14:paraId="7F728C09" w14:textId="77777777" w:rsidR="00BB4BE5" w:rsidRPr="00FF2D6C" w:rsidRDefault="00BB4BE5" w:rsidP="00FF2D6C">
      <w:pPr>
        <w:pStyle w:val="Normal0"/>
        <w:tabs>
          <w:tab w:val="right" w:pos="8789"/>
        </w:tabs>
        <w:jc w:val="both"/>
        <w:rPr>
          <w:sz w:val="22"/>
          <w:szCs w:val="22"/>
        </w:rPr>
      </w:pPr>
    </w:p>
    <w:p w14:paraId="68732CEE" w14:textId="77777777" w:rsidR="00BB4BE5" w:rsidRPr="00FF2D6C" w:rsidRDefault="008A1962" w:rsidP="00FF2D6C">
      <w:pPr>
        <w:pStyle w:val="Normal0"/>
        <w:tabs>
          <w:tab w:val="right" w:pos="8789"/>
        </w:tabs>
        <w:jc w:val="both"/>
        <w:rPr>
          <w:sz w:val="22"/>
          <w:szCs w:val="22"/>
        </w:rPr>
      </w:pPr>
      <w:r w:rsidRPr="00FF2D6C">
        <w:rPr>
          <w:sz w:val="22"/>
          <w:szCs w:val="22"/>
        </w:rPr>
        <w:t>En primer lugar, se ha de tener en consideración que la finalidad compartida de la LTAIBG y de la NF 1/2017 es la «</w:t>
      </w:r>
      <w:r w:rsidRPr="00E057F9">
        <w:rPr>
          <w:i/>
          <w:iCs/>
          <w:sz w:val="22"/>
          <w:szCs w:val="22"/>
        </w:rPr>
        <w:t>transparencia de la actividad pública</w:t>
      </w:r>
      <w:r w:rsidRPr="00FF2D6C">
        <w:rPr>
          <w:sz w:val="22"/>
          <w:szCs w:val="22"/>
        </w:rPr>
        <w:t>» y «</w:t>
      </w:r>
      <w:r w:rsidRPr="00E057F9">
        <w:rPr>
          <w:i/>
          <w:iCs/>
          <w:sz w:val="22"/>
          <w:szCs w:val="22"/>
        </w:rPr>
        <w:t>regular y garan</w:t>
      </w:r>
      <w:r w:rsidRPr="00E057F9">
        <w:rPr>
          <w:i/>
          <w:iCs/>
          <w:sz w:val="22"/>
          <w:szCs w:val="22"/>
        </w:rPr>
        <w:t>tizar el derecho de acceso</w:t>
      </w:r>
      <w:r w:rsidRPr="00FF2D6C">
        <w:rPr>
          <w:sz w:val="22"/>
          <w:szCs w:val="22"/>
        </w:rPr>
        <w:t xml:space="preserve">» a esa información. </w:t>
      </w:r>
    </w:p>
    <w:p w14:paraId="258F8373" w14:textId="77777777" w:rsidR="00BB4BE5" w:rsidRPr="00FF2D6C" w:rsidRDefault="00BB4BE5" w:rsidP="00FF2D6C">
      <w:pPr>
        <w:pStyle w:val="Normal0"/>
        <w:tabs>
          <w:tab w:val="right" w:pos="8789"/>
        </w:tabs>
        <w:jc w:val="both"/>
        <w:rPr>
          <w:sz w:val="22"/>
          <w:szCs w:val="22"/>
        </w:rPr>
      </w:pPr>
    </w:p>
    <w:p w14:paraId="0DB29637" w14:textId="77777777" w:rsidR="00BB4BE5" w:rsidRPr="00FF2D6C" w:rsidRDefault="008A1962" w:rsidP="00FF2D6C">
      <w:pPr>
        <w:pStyle w:val="Normal0"/>
        <w:tabs>
          <w:tab w:val="right" w:pos="8789"/>
        </w:tabs>
        <w:jc w:val="both"/>
        <w:rPr>
          <w:sz w:val="22"/>
          <w:szCs w:val="22"/>
        </w:rPr>
      </w:pPr>
      <w:r w:rsidRPr="00FF2D6C">
        <w:rPr>
          <w:sz w:val="22"/>
          <w:szCs w:val="22"/>
        </w:rPr>
        <w:t>Así, el artículo 1 LTAIBG define el objeto de la ley cuando dispone:</w:t>
      </w:r>
    </w:p>
    <w:p w14:paraId="173981BE" w14:textId="77777777" w:rsidR="00BB4BE5" w:rsidRPr="00FF2D6C" w:rsidRDefault="00BB4BE5" w:rsidP="00FF2D6C">
      <w:pPr>
        <w:pStyle w:val="Normal0"/>
        <w:tabs>
          <w:tab w:val="right" w:pos="8789"/>
        </w:tabs>
        <w:jc w:val="both"/>
        <w:rPr>
          <w:sz w:val="22"/>
          <w:szCs w:val="22"/>
        </w:rPr>
      </w:pPr>
    </w:p>
    <w:p w14:paraId="14330DA0" w14:textId="77777777" w:rsidR="00BB4BE5" w:rsidRPr="004D1BC9" w:rsidRDefault="008A1962" w:rsidP="004D1BC9">
      <w:pPr>
        <w:pStyle w:val="Normal0"/>
        <w:tabs>
          <w:tab w:val="right" w:pos="8789"/>
        </w:tabs>
        <w:ind w:left="708"/>
        <w:jc w:val="both"/>
        <w:rPr>
          <w:i/>
          <w:iCs/>
        </w:rPr>
      </w:pPr>
      <w:r w:rsidRPr="004D1BC9">
        <w:rPr>
          <w:i/>
          <w:iCs/>
        </w:rPr>
        <w:t>«Esta Ley tiene por objeto ampliar y reforzar la transparencia de la actividad pública, regular y garantizar el derecho de acceso a la in</w:t>
      </w:r>
      <w:r w:rsidRPr="004D1BC9">
        <w:rPr>
          <w:i/>
          <w:iCs/>
        </w:rPr>
        <w:t>formación relativa a aquella actividad y establecer las obligaciones de buen gobierno que deben cumplir los responsables públicos así como las consecuencias derivadas de su incumplimiento».</w:t>
      </w:r>
    </w:p>
    <w:p w14:paraId="059E5E10" w14:textId="77777777" w:rsidR="00BB4BE5" w:rsidRPr="00FF2D6C" w:rsidRDefault="00BB4BE5" w:rsidP="00FF2D6C">
      <w:pPr>
        <w:pStyle w:val="Normal0"/>
        <w:tabs>
          <w:tab w:val="right" w:pos="8789"/>
        </w:tabs>
        <w:jc w:val="both"/>
        <w:rPr>
          <w:sz w:val="22"/>
          <w:szCs w:val="22"/>
        </w:rPr>
      </w:pPr>
    </w:p>
    <w:p w14:paraId="278B425D" w14:textId="77777777" w:rsidR="00BB4BE5" w:rsidRPr="00FF2D6C" w:rsidRDefault="008A1962" w:rsidP="00FF2D6C">
      <w:pPr>
        <w:pStyle w:val="Normal0"/>
        <w:tabs>
          <w:tab w:val="right" w:pos="8789"/>
        </w:tabs>
        <w:jc w:val="both"/>
        <w:rPr>
          <w:sz w:val="22"/>
          <w:szCs w:val="22"/>
        </w:rPr>
      </w:pPr>
      <w:r w:rsidRPr="00FF2D6C">
        <w:rPr>
          <w:sz w:val="22"/>
          <w:szCs w:val="22"/>
        </w:rPr>
        <w:t>Por su parte, el artículo 1 NF 1/2017 establece que:</w:t>
      </w:r>
    </w:p>
    <w:p w14:paraId="247DA641" w14:textId="77777777" w:rsidR="00BB4BE5" w:rsidRPr="00FF2D6C" w:rsidRDefault="00BB4BE5" w:rsidP="00FF2D6C">
      <w:pPr>
        <w:pStyle w:val="Normal0"/>
        <w:tabs>
          <w:tab w:val="right" w:pos="8789"/>
        </w:tabs>
        <w:jc w:val="both"/>
        <w:rPr>
          <w:sz w:val="22"/>
          <w:szCs w:val="22"/>
        </w:rPr>
      </w:pPr>
    </w:p>
    <w:p w14:paraId="035FD57F" w14:textId="77777777" w:rsidR="00BB4BE5" w:rsidRPr="004D1BC9" w:rsidRDefault="008A1962" w:rsidP="004D1BC9">
      <w:pPr>
        <w:pStyle w:val="Normal0"/>
        <w:tabs>
          <w:tab w:val="right" w:pos="8789"/>
        </w:tabs>
        <w:ind w:left="708"/>
        <w:jc w:val="both"/>
        <w:rPr>
          <w:i/>
          <w:iCs/>
        </w:rPr>
      </w:pPr>
      <w:r w:rsidRPr="004D1BC9">
        <w:rPr>
          <w:i/>
          <w:iCs/>
        </w:rPr>
        <w:t>«Esta Norma</w:t>
      </w:r>
      <w:r w:rsidRPr="004D1BC9">
        <w:rPr>
          <w:i/>
          <w:iCs/>
        </w:rPr>
        <w:t xml:space="preserve"> Foral tiene por objeto regular en el ámbito del sector público del Territorio Histórico de Álava la transparencia y publicidad de la actividad administrativa, el buen gobierno y las condiciones de ejercicio del derecho de acceso a la información pública, </w:t>
      </w:r>
      <w:r w:rsidRPr="004D1BC9">
        <w:rPr>
          <w:i/>
          <w:iCs/>
        </w:rPr>
        <w:t xml:space="preserve">la evaluación de políticas públicas, y la participación de la ciudadanía en los asuntos públicos, del Territorio Histórico de Álava». </w:t>
      </w:r>
    </w:p>
    <w:p w14:paraId="0E8E205D" w14:textId="77777777" w:rsidR="00BB4BE5" w:rsidRPr="00FF2D6C" w:rsidRDefault="00BB4BE5" w:rsidP="00FF2D6C">
      <w:pPr>
        <w:pStyle w:val="Normal0"/>
        <w:tabs>
          <w:tab w:val="right" w:pos="8789"/>
        </w:tabs>
        <w:jc w:val="both"/>
        <w:rPr>
          <w:sz w:val="22"/>
          <w:szCs w:val="22"/>
        </w:rPr>
      </w:pPr>
    </w:p>
    <w:p w14:paraId="7D7C3E3D" w14:textId="77777777" w:rsidR="00BB4BE5" w:rsidRPr="00FF2D6C" w:rsidRDefault="008A1962" w:rsidP="00FF2D6C">
      <w:pPr>
        <w:pStyle w:val="Normal0"/>
        <w:tabs>
          <w:tab w:val="right" w:pos="8789"/>
        </w:tabs>
        <w:jc w:val="both"/>
        <w:rPr>
          <w:sz w:val="22"/>
          <w:szCs w:val="22"/>
        </w:rPr>
      </w:pPr>
      <w:r w:rsidRPr="00FF2D6C">
        <w:rPr>
          <w:sz w:val="22"/>
          <w:szCs w:val="22"/>
        </w:rPr>
        <w:t>Y, por su parte, el artículo 2 NF 1/2017 determina los fines:</w:t>
      </w:r>
    </w:p>
    <w:p w14:paraId="226C9BAE" w14:textId="77777777" w:rsidR="00BB4BE5" w:rsidRPr="00FF2D6C" w:rsidRDefault="00BB4BE5" w:rsidP="00FF2D6C">
      <w:pPr>
        <w:pStyle w:val="Normal0"/>
        <w:tabs>
          <w:tab w:val="right" w:pos="8789"/>
        </w:tabs>
        <w:jc w:val="both"/>
        <w:rPr>
          <w:sz w:val="22"/>
          <w:szCs w:val="22"/>
        </w:rPr>
      </w:pPr>
    </w:p>
    <w:p w14:paraId="3B9D1CE1" w14:textId="77777777" w:rsidR="00BB4BE5" w:rsidRPr="004D1BC9" w:rsidRDefault="008A1962" w:rsidP="004D1BC9">
      <w:pPr>
        <w:pStyle w:val="Normal0"/>
        <w:tabs>
          <w:tab w:val="right" w:pos="8789"/>
        </w:tabs>
        <w:ind w:left="708"/>
        <w:jc w:val="both"/>
        <w:rPr>
          <w:i/>
          <w:iCs/>
        </w:rPr>
      </w:pPr>
      <w:r w:rsidRPr="004D1BC9">
        <w:rPr>
          <w:i/>
          <w:iCs/>
        </w:rPr>
        <w:t>«La presente Norma persigue los siguientes fines:</w:t>
      </w:r>
    </w:p>
    <w:p w14:paraId="1569C632" w14:textId="77777777" w:rsidR="00BB4BE5" w:rsidRPr="004D1BC9" w:rsidRDefault="00BB4BE5" w:rsidP="004D1BC9">
      <w:pPr>
        <w:pStyle w:val="Normal0"/>
        <w:tabs>
          <w:tab w:val="right" w:pos="8789"/>
        </w:tabs>
        <w:ind w:left="708"/>
        <w:jc w:val="both"/>
        <w:rPr>
          <w:i/>
          <w:iCs/>
        </w:rPr>
      </w:pPr>
    </w:p>
    <w:p w14:paraId="15E53991" w14:textId="77777777" w:rsidR="00BB4BE5" w:rsidRPr="004D1BC9" w:rsidRDefault="008A1962" w:rsidP="004D1BC9">
      <w:pPr>
        <w:pStyle w:val="Normal0"/>
        <w:tabs>
          <w:tab w:val="right" w:pos="8789"/>
        </w:tabs>
        <w:ind w:left="708"/>
        <w:jc w:val="both"/>
        <w:rPr>
          <w:i/>
          <w:iCs/>
        </w:rPr>
      </w:pPr>
      <w:r w:rsidRPr="004D1BC9">
        <w:rPr>
          <w:i/>
          <w:iCs/>
        </w:rPr>
        <w:t xml:space="preserve">a) </w:t>
      </w:r>
      <w:r w:rsidRPr="004D1BC9">
        <w:rPr>
          <w:i/>
          <w:iCs/>
        </w:rPr>
        <w:t>Ser un instrumento de supervisión y control por parte de la ciudadanía de la gestión del gobierno y las políticas públicas, materializándose con hechos concretos que serán desarrollados en el artículo 20 y siguientes de esta Norma Foral.</w:t>
      </w:r>
    </w:p>
    <w:p w14:paraId="15DE3B82" w14:textId="77777777" w:rsidR="00BB4BE5" w:rsidRPr="004D1BC9" w:rsidRDefault="008A1962" w:rsidP="004D1BC9">
      <w:pPr>
        <w:pStyle w:val="Normal0"/>
        <w:tabs>
          <w:tab w:val="right" w:pos="8789"/>
        </w:tabs>
        <w:ind w:left="708"/>
        <w:jc w:val="both"/>
        <w:rPr>
          <w:i/>
          <w:iCs/>
        </w:rPr>
      </w:pPr>
      <w:r w:rsidRPr="004D1BC9">
        <w:rPr>
          <w:i/>
          <w:iCs/>
        </w:rPr>
        <w:t>b) Informar a la c</w:t>
      </w:r>
      <w:r w:rsidRPr="004D1BC9">
        <w:rPr>
          <w:i/>
          <w:iCs/>
        </w:rPr>
        <w:t xml:space="preserve">iudadanía sobre la planificación del gobierno y sus compromisos estratégicos consolidando el principio de publicidad activa. </w:t>
      </w:r>
    </w:p>
    <w:p w14:paraId="099D96D0" w14:textId="77777777" w:rsidR="00BB4BE5" w:rsidRPr="004D1BC9" w:rsidRDefault="008A1962" w:rsidP="004D1BC9">
      <w:pPr>
        <w:pStyle w:val="Normal0"/>
        <w:tabs>
          <w:tab w:val="right" w:pos="8789"/>
        </w:tabs>
        <w:ind w:left="708"/>
        <w:jc w:val="both"/>
        <w:rPr>
          <w:i/>
          <w:iCs/>
        </w:rPr>
      </w:pPr>
      <w:r w:rsidRPr="004D1BC9">
        <w:rPr>
          <w:i/>
          <w:iCs/>
        </w:rPr>
        <w:t>c) Promover el acceso de la ciudadanía a la información pública que obre en poder de la Administración foral y de los organismos y</w:t>
      </w:r>
      <w:r w:rsidRPr="004D1BC9">
        <w:rPr>
          <w:i/>
          <w:iCs/>
        </w:rPr>
        <w:t xml:space="preserve"> entidades vinculadas o dependientes.</w:t>
      </w:r>
    </w:p>
    <w:p w14:paraId="7DAF5FF5" w14:textId="77777777" w:rsidR="00BB4BE5" w:rsidRPr="004D1BC9" w:rsidRDefault="008A1962" w:rsidP="004D1BC9">
      <w:pPr>
        <w:pStyle w:val="Normal0"/>
        <w:tabs>
          <w:tab w:val="right" w:pos="8789"/>
        </w:tabs>
        <w:ind w:left="708"/>
        <w:jc w:val="both"/>
        <w:rPr>
          <w:i/>
          <w:iCs/>
        </w:rPr>
      </w:pPr>
      <w:r w:rsidRPr="004D1BC9">
        <w:rPr>
          <w:i/>
          <w:iCs/>
        </w:rPr>
        <w:t>d) Favorecer, en la ciudadanía y en el sector público del Territorio Histórico de Álava, la generación de una cultura y hábitos de participación corresponsable en los asuntos públicos, mediante consultas u otros mecanismos, promoviendo el empoderamiento de</w:t>
      </w:r>
      <w:r w:rsidRPr="004D1BC9">
        <w:rPr>
          <w:i/>
          <w:iCs/>
        </w:rPr>
        <w:t xml:space="preserve"> los sectores con más dificultades para ejercer estas dinámicas. </w:t>
      </w:r>
    </w:p>
    <w:p w14:paraId="4C013543" w14:textId="77777777" w:rsidR="00BB4BE5" w:rsidRPr="004D1BC9" w:rsidRDefault="008A1962" w:rsidP="004D1BC9">
      <w:pPr>
        <w:pStyle w:val="Normal0"/>
        <w:tabs>
          <w:tab w:val="right" w:pos="8789"/>
        </w:tabs>
        <w:ind w:left="708"/>
        <w:jc w:val="both"/>
        <w:rPr>
          <w:i/>
          <w:iCs/>
        </w:rPr>
      </w:pPr>
      <w:r w:rsidRPr="004D1BC9">
        <w:rPr>
          <w:i/>
          <w:iCs/>
        </w:rPr>
        <w:t>e) Impulsar la evaluación de las políticas públicas, en cuanto a la obligación de evaluar y la obligación de comunicar los resultados de esa evaluación».</w:t>
      </w:r>
    </w:p>
    <w:p w14:paraId="65651D89" w14:textId="77777777" w:rsidR="00BB4BE5" w:rsidRPr="00FF2D6C" w:rsidRDefault="00BB4BE5" w:rsidP="00FF2D6C">
      <w:pPr>
        <w:pStyle w:val="Normal0"/>
        <w:tabs>
          <w:tab w:val="right" w:pos="8789"/>
        </w:tabs>
        <w:jc w:val="both"/>
        <w:rPr>
          <w:sz w:val="22"/>
          <w:szCs w:val="22"/>
        </w:rPr>
      </w:pPr>
    </w:p>
    <w:p w14:paraId="732AF492" w14:textId="77777777" w:rsidR="00BB4BE5" w:rsidRPr="00FF2D6C" w:rsidRDefault="008A1962" w:rsidP="00FF2D6C">
      <w:pPr>
        <w:pStyle w:val="Normal0"/>
        <w:tabs>
          <w:tab w:val="right" w:pos="8789"/>
        </w:tabs>
        <w:jc w:val="both"/>
        <w:rPr>
          <w:sz w:val="22"/>
          <w:szCs w:val="22"/>
        </w:rPr>
      </w:pPr>
      <w:r w:rsidRPr="00FF2D6C">
        <w:rPr>
          <w:sz w:val="22"/>
          <w:szCs w:val="22"/>
        </w:rPr>
        <w:t xml:space="preserve">Sentado cuanto precede, entendemos </w:t>
      </w:r>
      <w:r w:rsidRPr="00FF2D6C">
        <w:rPr>
          <w:sz w:val="22"/>
          <w:szCs w:val="22"/>
        </w:rPr>
        <w:t>prudente realizar un juicio ponderado entre la finalidad de la solicitud y si esta adolece de un carácter abusivo respecto de la finalidad de la normativa expuesta en materia de transparencia.</w:t>
      </w:r>
    </w:p>
    <w:p w14:paraId="51F58325" w14:textId="77777777" w:rsidR="00BB4BE5" w:rsidRPr="00FF2D6C" w:rsidRDefault="00BB4BE5" w:rsidP="00FF2D6C">
      <w:pPr>
        <w:pStyle w:val="Normal0"/>
        <w:tabs>
          <w:tab w:val="right" w:pos="8789"/>
        </w:tabs>
        <w:jc w:val="both"/>
        <w:rPr>
          <w:sz w:val="22"/>
          <w:szCs w:val="22"/>
        </w:rPr>
      </w:pPr>
    </w:p>
    <w:p w14:paraId="52B4F0E4" w14:textId="77777777" w:rsidR="00BB4BE5" w:rsidRPr="00FF2D6C" w:rsidRDefault="008A1962" w:rsidP="00FF2D6C">
      <w:pPr>
        <w:pStyle w:val="Normal0"/>
        <w:tabs>
          <w:tab w:val="right" w:pos="8789"/>
        </w:tabs>
        <w:jc w:val="both"/>
        <w:rPr>
          <w:sz w:val="22"/>
          <w:szCs w:val="22"/>
        </w:rPr>
      </w:pPr>
      <w:r w:rsidRPr="00FF2D6C">
        <w:rPr>
          <w:sz w:val="22"/>
          <w:szCs w:val="22"/>
        </w:rPr>
        <w:lastRenderedPageBreak/>
        <w:t>Así, la documentación solicitada</w:t>
      </w:r>
      <w:r>
        <w:rPr>
          <w:sz w:val="22"/>
          <w:szCs w:val="22"/>
        </w:rPr>
        <w:t xml:space="preserve"> </w:t>
      </w:r>
      <w:r w:rsidRPr="00FF2D6C">
        <w:rPr>
          <w:sz w:val="22"/>
          <w:szCs w:val="22"/>
        </w:rPr>
        <w:t>ostenta una clara vocación de</w:t>
      </w:r>
      <w:r w:rsidRPr="00FF2D6C">
        <w:rPr>
          <w:sz w:val="22"/>
          <w:szCs w:val="22"/>
        </w:rPr>
        <w:t xml:space="preserve"> obedecer a un fin exclusivamente privado de la solicitante al no ser la misma parte interesada en dicho proceso selectivo, no existiendo, por tanto, afectación o interés en conocer los exámenes de otros aspirantes puesto que ni la calificación de dichos e</w:t>
      </w:r>
      <w:r w:rsidRPr="00FF2D6C">
        <w:rPr>
          <w:sz w:val="22"/>
          <w:szCs w:val="22"/>
        </w:rPr>
        <w:t>xámenes ha condicionado en forma alguna a quien no ha sido partícipe en dicho proceso, ni se le ha podido desplazar en dicho proceso selectivo al no formar parte del mismo; por lo que, desde el punto de vista de la transparencia, carece de un interés en el</w:t>
      </w:r>
      <w:r w:rsidRPr="00FF2D6C">
        <w:rPr>
          <w:sz w:val="22"/>
          <w:szCs w:val="22"/>
        </w:rPr>
        <w:t xml:space="preserve"> acceso a dichos documentos, siendo así que su obtención no guarda relación alguna con el fin pretendido de la normativa en dicha materia, quedando excluido, por ende, del ámbito de la NF 1/2017 y de la LTAIBG, toda vez que esta documentación resulta irrel</w:t>
      </w:r>
      <w:r w:rsidRPr="00FF2D6C">
        <w:rPr>
          <w:sz w:val="22"/>
          <w:szCs w:val="22"/>
        </w:rPr>
        <w:t xml:space="preserve">evante, en cuanto en nada le afecta, no siendo válida a los efectos de control público y rendición de cuentas, resultando, además, completamente intrascendente respecto del contenido de la actividad pública que ha desarrollado esta Diputación Foral. </w:t>
      </w:r>
    </w:p>
    <w:p w14:paraId="028A3B7D" w14:textId="77777777" w:rsidR="00BB4BE5" w:rsidRPr="00FF2D6C" w:rsidRDefault="00BB4BE5" w:rsidP="00FF2D6C">
      <w:pPr>
        <w:pStyle w:val="Normal0"/>
        <w:tabs>
          <w:tab w:val="right" w:pos="8789"/>
        </w:tabs>
        <w:jc w:val="both"/>
        <w:rPr>
          <w:sz w:val="22"/>
          <w:szCs w:val="22"/>
        </w:rPr>
      </w:pPr>
    </w:p>
    <w:p w14:paraId="0C18EA07" w14:textId="77777777" w:rsidR="00BB4BE5" w:rsidRPr="00FF2D6C" w:rsidRDefault="008A1962" w:rsidP="00FF2D6C">
      <w:pPr>
        <w:pStyle w:val="Normal0"/>
        <w:tabs>
          <w:tab w:val="right" w:pos="8789"/>
        </w:tabs>
        <w:jc w:val="both"/>
        <w:rPr>
          <w:sz w:val="22"/>
          <w:szCs w:val="22"/>
        </w:rPr>
      </w:pPr>
      <w:r w:rsidRPr="00FF2D6C">
        <w:rPr>
          <w:sz w:val="22"/>
          <w:szCs w:val="22"/>
        </w:rPr>
        <w:t>En e</w:t>
      </w:r>
      <w:r w:rsidRPr="00FF2D6C">
        <w:rPr>
          <w:sz w:val="22"/>
          <w:szCs w:val="22"/>
        </w:rPr>
        <w:t>ste sentido, como criterio interpretativo de la parte dispositiva de la norma – ex art. 1 LTAIBG- cabe traer a colación el Preámbulo de esta, cuando dice que:</w:t>
      </w:r>
    </w:p>
    <w:p w14:paraId="32D6CA30" w14:textId="77777777" w:rsidR="00BB4BE5" w:rsidRPr="00FF2D6C" w:rsidRDefault="00BB4BE5" w:rsidP="00FF2D6C">
      <w:pPr>
        <w:pStyle w:val="Normal0"/>
        <w:tabs>
          <w:tab w:val="right" w:pos="8789"/>
        </w:tabs>
        <w:jc w:val="both"/>
        <w:rPr>
          <w:sz w:val="22"/>
          <w:szCs w:val="22"/>
        </w:rPr>
      </w:pPr>
    </w:p>
    <w:p w14:paraId="75177462" w14:textId="77777777" w:rsidR="00BB4BE5" w:rsidRDefault="008A1962" w:rsidP="004D1BC9">
      <w:pPr>
        <w:pStyle w:val="Normal0"/>
        <w:tabs>
          <w:tab w:val="right" w:pos="8789"/>
        </w:tabs>
        <w:ind w:left="708"/>
        <w:jc w:val="both"/>
        <w:rPr>
          <w:i/>
          <w:iCs/>
        </w:rPr>
      </w:pPr>
      <w:r w:rsidRPr="004D1BC9">
        <w:rPr>
          <w:i/>
          <w:iCs/>
        </w:rPr>
        <w:t>«La transparencia, el acceso a la información pública y las normas de buen gobierno deben ser lo</w:t>
      </w:r>
      <w:r w:rsidRPr="004D1BC9">
        <w:rPr>
          <w:i/>
          <w:iCs/>
        </w:rPr>
        <w:t xml:space="preserve">s ejes fundamentales de toda acción política. Sólo cuando la acción de los responsables públicos se somete a escrutinio, cuando los ciudadanos </w:t>
      </w:r>
      <w:r w:rsidRPr="00E057F9">
        <w:rPr>
          <w:b/>
          <w:bCs/>
          <w:i/>
          <w:iCs/>
          <w:u w:val="single"/>
        </w:rPr>
        <w:t>pueden conocer cómo se toman las decisiones que les afectan, cómo se manejan los fondos públicos</w:t>
      </w:r>
      <w:r w:rsidRPr="004D1BC9">
        <w:rPr>
          <w:i/>
          <w:iCs/>
        </w:rPr>
        <w:t xml:space="preserve"> o bajo qué crite</w:t>
      </w:r>
      <w:r w:rsidRPr="004D1BC9">
        <w:rPr>
          <w:i/>
          <w:iCs/>
        </w:rPr>
        <w:t>rios actúan nuestras instituciones podremos hablar del inicio de un proceso en el que los poderes públicos comienzan a responder a una sociedad que es crítica, exigente y que demanda participación de los poderes públicos».</w:t>
      </w:r>
    </w:p>
    <w:p w14:paraId="1FD8C635" w14:textId="77777777" w:rsidR="00BB4BE5" w:rsidRDefault="00BB4BE5" w:rsidP="004D1BC9">
      <w:pPr>
        <w:pStyle w:val="Normal0"/>
        <w:tabs>
          <w:tab w:val="right" w:pos="8789"/>
        </w:tabs>
        <w:ind w:left="708"/>
        <w:jc w:val="both"/>
        <w:rPr>
          <w:i/>
          <w:iCs/>
        </w:rPr>
      </w:pPr>
    </w:p>
    <w:p w14:paraId="5A389F04" w14:textId="77777777" w:rsidR="00BB4BE5" w:rsidRPr="004D1BC9" w:rsidRDefault="008A1962" w:rsidP="004D1BC9">
      <w:pPr>
        <w:pStyle w:val="Normal0"/>
        <w:tabs>
          <w:tab w:val="right" w:pos="8789"/>
        </w:tabs>
        <w:ind w:left="708"/>
        <w:jc w:val="both"/>
        <w:rPr>
          <w:i/>
          <w:iCs/>
        </w:rPr>
      </w:pPr>
      <w:r w:rsidRPr="00FF2D6C">
        <w:rPr>
          <w:sz w:val="22"/>
          <w:szCs w:val="22"/>
        </w:rPr>
        <w:t>(El destacado es nuestro)</w:t>
      </w:r>
    </w:p>
    <w:p w14:paraId="49394C65" w14:textId="77777777" w:rsidR="00BB4BE5" w:rsidRPr="00FF2D6C" w:rsidRDefault="00BB4BE5" w:rsidP="00FF2D6C">
      <w:pPr>
        <w:pStyle w:val="Normal0"/>
        <w:tabs>
          <w:tab w:val="right" w:pos="8789"/>
        </w:tabs>
        <w:jc w:val="both"/>
        <w:rPr>
          <w:sz w:val="22"/>
          <w:szCs w:val="22"/>
        </w:rPr>
      </w:pPr>
    </w:p>
    <w:p w14:paraId="3634A6C5" w14:textId="77777777" w:rsidR="00BB4BE5" w:rsidRPr="00FF2D6C" w:rsidRDefault="008A1962" w:rsidP="00FF2D6C">
      <w:pPr>
        <w:pStyle w:val="Normal0"/>
        <w:tabs>
          <w:tab w:val="right" w:pos="8789"/>
        </w:tabs>
        <w:jc w:val="both"/>
        <w:rPr>
          <w:sz w:val="22"/>
          <w:szCs w:val="22"/>
        </w:rPr>
      </w:pPr>
      <w:r w:rsidRPr="00FF2D6C">
        <w:rPr>
          <w:sz w:val="22"/>
          <w:szCs w:val="22"/>
        </w:rPr>
        <w:t>Tampo</w:t>
      </w:r>
      <w:r w:rsidRPr="00FF2D6C">
        <w:rPr>
          <w:sz w:val="22"/>
          <w:szCs w:val="22"/>
        </w:rPr>
        <w:t>co se ofrece una argumentación por parte de la solicitante, que, aun no siendo estrictamente necesaria, ni legalmente exigible si se aplica la normativa en materia de transparencia, arrojaría luz sobre los objetivos pretendidos con la obtención de dicha in</w:t>
      </w:r>
      <w:r w:rsidRPr="00FF2D6C">
        <w:rPr>
          <w:sz w:val="22"/>
          <w:szCs w:val="22"/>
        </w:rPr>
        <w:t xml:space="preserve">formación -ex art. 17.3 LTAIBG-. Nada se dice al respecto, careciendo absolutamente de </w:t>
      </w:r>
      <w:r w:rsidRPr="00E057F9">
        <w:rPr>
          <w:i/>
          <w:iCs/>
          <w:sz w:val="22"/>
          <w:szCs w:val="22"/>
        </w:rPr>
        <w:t>causa petendi</w:t>
      </w:r>
      <w:r w:rsidRPr="00FF2D6C">
        <w:rPr>
          <w:sz w:val="22"/>
          <w:szCs w:val="22"/>
        </w:rPr>
        <w:t xml:space="preserve">, pudiendo deducir que estamos ante </w:t>
      </w:r>
      <w:bookmarkStart w:id="2" w:name="_Hlk158391121"/>
      <w:r w:rsidRPr="00FF2D6C">
        <w:rPr>
          <w:sz w:val="22"/>
          <w:szCs w:val="22"/>
        </w:rPr>
        <w:t xml:space="preserve">un </w:t>
      </w:r>
      <w:r>
        <w:rPr>
          <w:sz w:val="22"/>
          <w:szCs w:val="22"/>
        </w:rPr>
        <w:t xml:space="preserve">ejercicio </w:t>
      </w:r>
      <w:r w:rsidRPr="00FF2D6C">
        <w:rPr>
          <w:sz w:val="22"/>
          <w:szCs w:val="22"/>
        </w:rPr>
        <w:t>del derecho</w:t>
      </w:r>
      <w:r>
        <w:rPr>
          <w:sz w:val="22"/>
          <w:szCs w:val="22"/>
        </w:rPr>
        <w:t xml:space="preserve"> excesivo</w:t>
      </w:r>
      <w:bookmarkEnd w:id="2"/>
      <w:r w:rsidRPr="00FF2D6C">
        <w:rPr>
          <w:sz w:val="22"/>
          <w:szCs w:val="22"/>
        </w:rPr>
        <w:t>, puesto que la LTAIBG no oferta derechos absolutos ni ilimitados, de suerte que, si el</w:t>
      </w:r>
      <w:r w:rsidRPr="00FF2D6C">
        <w:rPr>
          <w:sz w:val="22"/>
          <w:szCs w:val="22"/>
        </w:rPr>
        <w:t xml:space="preserve"> principio de publicidad en los procedimientos de concurrencia competitiva no es absoluto, tampoco el principio de transparencia predica una condición ilimitada, encontrando su muga en los derechos de los autores de dichos ejercicios, y en las obligaciones</w:t>
      </w:r>
      <w:r w:rsidRPr="00FF2D6C">
        <w:rPr>
          <w:sz w:val="22"/>
          <w:szCs w:val="22"/>
        </w:rPr>
        <w:t xml:space="preserve"> de la propia Administración.  </w:t>
      </w:r>
    </w:p>
    <w:p w14:paraId="1CEE9282" w14:textId="77777777" w:rsidR="00BB4BE5" w:rsidRPr="00FF2D6C" w:rsidRDefault="00BB4BE5" w:rsidP="00FF2D6C">
      <w:pPr>
        <w:pStyle w:val="Normal0"/>
        <w:tabs>
          <w:tab w:val="right" w:pos="8789"/>
        </w:tabs>
        <w:jc w:val="both"/>
        <w:rPr>
          <w:sz w:val="22"/>
          <w:szCs w:val="22"/>
        </w:rPr>
      </w:pPr>
    </w:p>
    <w:p w14:paraId="07774EE3" w14:textId="77777777" w:rsidR="00BB4BE5" w:rsidRPr="00FF2D6C" w:rsidRDefault="008A1962" w:rsidP="00FF2D6C">
      <w:pPr>
        <w:pStyle w:val="Normal0"/>
        <w:tabs>
          <w:tab w:val="right" w:pos="8789"/>
        </w:tabs>
        <w:jc w:val="both"/>
        <w:rPr>
          <w:sz w:val="22"/>
          <w:szCs w:val="22"/>
        </w:rPr>
      </w:pPr>
      <w:r w:rsidRPr="00FF2D6C">
        <w:rPr>
          <w:sz w:val="22"/>
          <w:szCs w:val="22"/>
        </w:rPr>
        <w:t xml:space="preserve">Con mérito en lo expuesto, cabe traer a colación lo expuesto en el Criterio Interpretativo 2.2.1 del Consejo de Transparencia y Buen Gobierno CI/3/2016, de 14 de julio de 2016, cuando determina las pautas para apreciar que </w:t>
      </w:r>
      <w:r w:rsidRPr="00FF2D6C">
        <w:rPr>
          <w:sz w:val="22"/>
          <w:szCs w:val="22"/>
        </w:rPr>
        <w:t>la solicitud adolece de un carácter abusivo:</w:t>
      </w:r>
    </w:p>
    <w:p w14:paraId="0719FCC9" w14:textId="77777777" w:rsidR="00BB4BE5" w:rsidRPr="00FF2D6C" w:rsidRDefault="00BB4BE5" w:rsidP="00FF2D6C">
      <w:pPr>
        <w:pStyle w:val="Normal0"/>
        <w:tabs>
          <w:tab w:val="right" w:pos="8789"/>
        </w:tabs>
        <w:jc w:val="both"/>
        <w:rPr>
          <w:sz w:val="22"/>
          <w:szCs w:val="22"/>
        </w:rPr>
      </w:pPr>
    </w:p>
    <w:p w14:paraId="0B0365D8" w14:textId="77777777" w:rsidR="00BB4BE5" w:rsidRPr="004D1BC9" w:rsidRDefault="008A1962" w:rsidP="004D1BC9">
      <w:pPr>
        <w:pStyle w:val="Normal0"/>
        <w:tabs>
          <w:tab w:val="right" w:pos="8789"/>
        </w:tabs>
        <w:ind w:left="708"/>
        <w:jc w:val="both"/>
        <w:rPr>
          <w:i/>
          <w:iCs/>
        </w:rPr>
      </w:pPr>
      <w:r w:rsidRPr="004D1BC9">
        <w:rPr>
          <w:i/>
          <w:iCs/>
        </w:rPr>
        <w:t>«1. Así, una solicitud puede entenderse abusiva cuando se encuentre en alguno de los supuestos o se den alguno de los elementos que se mencionan a continuación:</w:t>
      </w:r>
    </w:p>
    <w:p w14:paraId="1C66B323" w14:textId="77777777" w:rsidR="00BB4BE5" w:rsidRPr="004D1BC9" w:rsidRDefault="008A1962" w:rsidP="004D1BC9">
      <w:pPr>
        <w:pStyle w:val="Normal0"/>
        <w:tabs>
          <w:tab w:val="right" w:pos="8789"/>
        </w:tabs>
        <w:ind w:left="708"/>
        <w:jc w:val="both"/>
        <w:rPr>
          <w:i/>
          <w:iCs/>
        </w:rPr>
      </w:pPr>
      <w:r w:rsidRPr="004D1BC9">
        <w:rPr>
          <w:i/>
          <w:iCs/>
        </w:rPr>
        <w:t xml:space="preserve">- Con carácter general, en aquellos casos en que </w:t>
      </w:r>
      <w:r w:rsidRPr="004D1BC9">
        <w:rPr>
          <w:i/>
          <w:iCs/>
        </w:rPr>
        <w:t>pueda considerase incluida en el concepto de abuso de derecho recogido en el artículo 7.2 del Código Civil y avalado por la jurisprudencia, esto es: “Todo acto u omisión que por la intención de su autor, por su objeto o por las circunstancias en que se rea</w:t>
      </w:r>
      <w:r w:rsidRPr="004D1BC9">
        <w:rPr>
          <w:i/>
          <w:iCs/>
        </w:rPr>
        <w:t>lice sobrepase manifiestamente los límites normales del ejercicio de un derecho”.</w:t>
      </w:r>
    </w:p>
    <w:p w14:paraId="2AF30AE0" w14:textId="77777777" w:rsidR="00BB4BE5" w:rsidRPr="004D1BC9" w:rsidRDefault="008A1962" w:rsidP="004D1BC9">
      <w:pPr>
        <w:pStyle w:val="Normal0"/>
        <w:tabs>
          <w:tab w:val="right" w:pos="8789"/>
        </w:tabs>
        <w:ind w:left="708"/>
        <w:jc w:val="both"/>
        <w:rPr>
          <w:i/>
          <w:iCs/>
        </w:rPr>
      </w:pPr>
      <w:r w:rsidRPr="004D1BC9">
        <w:rPr>
          <w:i/>
          <w:iCs/>
        </w:rPr>
        <w:t>- Cuando, de ser atendida, requiriera un tratamiento que obligara a paralizar el resto de la gestión de los sujetos obligados a suministrar la información, impidiendo la aten</w:t>
      </w:r>
      <w:r w:rsidRPr="004D1BC9">
        <w:rPr>
          <w:i/>
          <w:iCs/>
        </w:rPr>
        <w:t>ción justa y equitativa de su trabajo y el servicio público que tienen encomendado, y así resulte de acuerdo con una ponderación razonada y basada en indicadores objetivos.</w:t>
      </w:r>
    </w:p>
    <w:p w14:paraId="48F4FFF4" w14:textId="77777777" w:rsidR="00BB4BE5" w:rsidRPr="004D1BC9" w:rsidRDefault="008A1962" w:rsidP="004D1BC9">
      <w:pPr>
        <w:pStyle w:val="Normal0"/>
        <w:tabs>
          <w:tab w:val="right" w:pos="8789"/>
        </w:tabs>
        <w:ind w:left="708"/>
        <w:jc w:val="both"/>
        <w:rPr>
          <w:i/>
          <w:iCs/>
        </w:rPr>
      </w:pPr>
      <w:r w:rsidRPr="004D1BC9">
        <w:rPr>
          <w:i/>
          <w:iCs/>
        </w:rPr>
        <w:t>- Cuando suponga un riesgo para los derechos de terceros</w:t>
      </w:r>
    </w:p>
    <w:p w14:paraId="7A0BFF8A" w14:textId="77777777" w:rsidR="00BB4BE5" w:rsidRPr="004D1BC9" w:rsidRDefault="008A1962" w:rsidP="004D1BC9">
      <w:pPr>
        <w:pStyle w:val="Normal0"/>
        <w:tabs>
          <w:tab w:val="right" w:pos="8789"/>
        </w:tabs>
        <w:ind w:left="708"/>
        <w:jc w:val="both"/>
        <w:rPr>
          <w:i/>
          <w:iCs/>
        </w:rPr>
      </w:pPr>
      <w:r w:rsidRPr="004D1BC9">
        <w:rPr>
          <w:i/>
          <w:iCs/>
        </w:rPr>
        <w:t>- Cuando sea contraria a l</w:t>
      </w:r>
      <w:r w:rsidRPr="004D1BC9">
        <w:rPr>
          <w:i/>
          <w:iCs/>
        </w:rPr>
        <w:t>as normas, las costumbres o la buena fe».</w:t>
      </w:r>
    </w:p>
    <w:p w14:paraId="39575169" w14:textId="77777777" w:rsidR="00BB4BE5" w:rsidRPr="00FF2D6C" w:rsidRDefault="00BB4BE5" w:rsidP="00FF2D6C">
      <w:pPr>
        <w:pStyle w:val="Normal0"/>
        <w:tabs>
          <w:tab w:val="right" w:pos="8789"/>
        </w:tabs>
        <w:jc w:val="both"/>
        <w:rPr>
          <w:sz w:val="22"/>
          <w:szCs w:val="22"/>
        </w:rPr>
      </w:pPr>
    </w:p>
    <w:p w14:paraId="65DB01C8" w14:textId="77777777" w:rsidR="00BB4BE5" w:rsidRPr="00FF2D6C" w:rsidRDefault="008A1962" w:rsidP="00FF2D6C">
      <w:pPr>
        <w:pStyle w:val="Normal0"/>
        <w:tabs>
          <w:tab w:val="right" w:pos="8789"/>
        </w:tabs>
        <w:jc w:val="both"/>
        <w:rPr>
          <w:sz w:val="22"/>
          <w:szCs w:val="22"/>
        </w:rPr>
      </w:pPr>
      <w:r w:rsidRPr="00FF2D6C">
        <w:rPr>
          <w:sz w:val="22"/>
          <w:szCs w:val="22"/>
        </w:rPr>
        <w:t xml:space="preserve">Lo anterior nos lleva, indefectiblemente, a valorar </w:t>
      </w:r>
      <w:r w:rsidRPr="0031267A">
        <w:rPr>
          <w:i/>
          <w:iCs/>
          <w:sz w:val="22"/>
          <w:szCs w:val="22"/>
        </w:rPr>
        <w:t>in limine</w:t>
      </w:r>
      <w:r w:rsidRPr="00FF2D6C">
        <w:rPr>
          <w:sz w:val="22"/>
          <w:szCs w:val="22"/>
        </w:rPr>
        <w:t xml:space="preserve"> el potencial daño a tercero y el riesgo que implica para sus derechos, si bien de forma indiciaria y sin entrar en el fondo del asunto. Así, el acceso </w:t>
      </w:r>
      <w:r w:rsidRPr="00FF2D6C">
        <w:rPr>
          <w:sz w:val="22"/>
          <w:szCs w:val="22"/>
        </w:rPr>
        <w:t>a dicho requerimiento pudiera afectar tanto a los derechos de los autores de dichos exámenes -derecho a la protección de datos de carácter personal y propiedad intelectual sobre dichos ejercicios-como a los derechos y obligaciones de la Administración como</w:t>
      </w:r>
      <w:r w:rsidRPr="00FF2D6C">
        <w:rPr>
          <w:sz w:val="22"/>
          <w:szCs w:val="22"/>
        </w:rPr>
        <w:t xml:space="preserve"> custodio de estos y titular del expediente administrativo finalizado -principio de confidencialidad e integridad, y garante de la protección de datos de carácter personal de los autores de los exámenes-.</w:t>
      </w:r>
    </w:p>
    <w:p w14:paraId="1DE0514A" w14:textId="77777777" w:rsidR="00BB4BE5" w:rsidRPr="00FF2D6C" w:rsidRDefault="00BB4BE5" w:rsidP="00FF2D6C">
      <w:pPr>
        <w:pStyle w:val="Normal0"/>
        <w:tabs>
          <w:tab w:val="right" w:pos="8789"/>
        </w:tabs>
        <w:jc w:val="both"/>
        <w:rPr>
          <w:sz w:val="22"/>
          <w:szCs w:val="22"/>
        </w:rPr>
      </w:pPr>
    </w:p>
    <w:p w14:paraId="419B527C" w14:textId="77777777" w:rsidR="00BB4BE5" w:rsidRPr="00FF2D6C" w:rsidRDefault="008A1962" w:rsidP="00FF2D6C">
      <w:pPr>
        <w:pStyle w:val="Normal0"/>
        <w:tabs>
          <w:tab w:val="right" w:pos="8789"/>
        </w:tabs>
        <w:jc w:val="both"/>
        <w:rPr>
          <w:sz w:val="22"/>
          <w:szCs w:val="22"/>
        </w:rPr>
      </w:pPr>
      <w:r w:rsidRPr="00FF2D6C">
        <w:rPr>
          <w:sz w:val="22"/>
          <w:szCs w:val="22"/>
        </w:rPr>
        <w:lastRenderedPageBreak/>
        <w:t xml:space="preserve">Al respecto, la obligación de confidencialidad se </w:t>
      </w:r>
      <w:r w:rsidRPr="00FF2D6C">
        <w:rPr>
          <w:sz w:val="22"/>
          <w:szCs w:val="22"/>
        </w:rPr>
        <w:t>recoge en el artículo 5 de la Ley Orgánica 3/2018, de 5 de diciembre, de Protección de Datos Personales y garantía de los derechos digitales, en adelante «LOPDGDD», cuando dispone:</w:t>
      </w:r>
    </w:p>
    <w:p w14:paraId="7EB82746" w14:textId="77777777" w:rsidR="00BB4BE5" w:rsidRPr="00FF2D6C" w:rsidRDefault="00BB4BE5" w:rsidP="00FF2D6C">
      <w:pPr>
        <w:pStyle w:val="Normal0"/>
        <w:tabs>
          <w:tab w:val="right" w:pos="8789"/>
        </w:tabs>
        <w:jc w:val="both"/>
        <w:rPr>
          <w:sz w:val="22"/>
          <w:szCs w:val="22"/>
        </w:rPr>
      </w:pPr>
    </w:p>
    <w:p w14:paraId="79C7AC86" w14:textId="77777777" w:rsidR="00BB4BE5" w:rsidRPr="004D1BC9" w:rsidRDefault="008A1962" w:rsidP="004D1BC9">
      <w:pPr>
        <w:pStyle w:val="Normal0"/>
        <w:tabs>
          <w:tab w:val="right" w:pos="8789"/>
        </w:tabs>
        <w:ind w:left="708"/>
        <w:jc w:val="both"/>
        <w:rPr>
          <w:i/>
          <w:iCs/>
        </w:rPr>
      </w:pPr>
      <w:r w:rsidRPr="004D1BC9">
        <w:rPr>
          <w:i/>
          <w:iCs/>
        </w:rPr>
        <w:t>«Artículo 5. Deber de confidencialidad.</w:t>
      </w:r>
    </w:p>
    <w:p w14:paraId="7C3299DF" w14:textId="77777777" w:rsidR="00BB4BE5" w:rsidRPr="004D1BC9" w:rsidRDefault="008A1962" w:rsidP="004D1BC9">
      <w:pPr>
        <w:pStyle w:val="Normal0"/>
        <w:tabs>
          <w:tab w:val="right" w:pos="8789"/>
        </w:tabs>
        <w:ind w:left="708"/>
        <w:jc w:val="both"/>
        <w:rPr>
          <w:i/>
          <w:iCs/>
        </w:rPr>
      </w:pPr>
      <w:r w:rsidRPr="004D1BC9">
        <w:rPr>
          <w:i/>
          <w:iCs/>
        </w:rPr>
        <w:t xml:space="preserve">1. Los responsables y </w:t>
      </w:r>
      <w:r w:rsidRPr="004D1BC9">
        <w:rPr>
          <w:i/>
          <w:iCs/>
        </w:rPr>
        <w:t>encargados del tratamiento de datos así como todas las personas que intervengan en cualquier fase de este estarán sujetas al deber de confidencialidad al que se refiere el artículo 5.1.f) del Reglamento (UE) 2016/679.</w:t>
      </w:r>
    </w:p>
    <w:p w14:paraId="3C45F054" w14:textId="77777777" w:rsidR="00BB4BE5" w:rsidRPr="004D1BC9" w:rsidRDefault="008A1962" w:rsidP="004D1BC9">
      <w:pPr>
        <w:pStyle w:val="Normal0"/>
        <w:tabs>
          <w:tab w:val="right" w:pos="8789"/>
        </w:tabs>
        <w:ind w:left="708"/>
        <w:jc w:val="both"/>
        <w:rPr>
          <w:i/>
          <w:iCs/>
        </w:rPr>
      </w:pPr>
      <w:r w:rsidRPr="004D1BC9">
        <w:rPr>
          <w:i/>
          <w:iCs/>
        </w:rPr>
        <w:t>2. La obligación general señalada en e</w:t>
      </w:r>
      <w:r w:rsidRPr="004D1BC9">
        <w:rPr>
          <w:i/>
          <w:iCs/>
        </w:rPr>
        <w:t>l apartado anterior será complementaria de los deberes de secreto profesional de conformidad con su normativa aplicable.</w:t>
      </w:r>
    </w:p>
    <w:p w14:paraId="6221AB24" w14:textId="77777777" w:rsidR="00BB4BE5" w:rsidRPr="004D1BC9" w:rsidRDefault="008A1962" w:rsidP="004D1BC9">
      <w:pPr>
        <w:pStyle w:val="Normal0"/>
        <w:tabs>
          <w:tab w:val="right" w:pos="8789"/>
        </w:tabs>
        <w:ind w:left="708"/>
        <w:jc w:val="both"/>
        <w:rPr>
          <w:i/>
          <w:iCs/>
        </w:rPr>
      </w:pPr>
      <w:r w:rsidRPr="004D1BC9">
        <w:rPr>
          <w:i/>
          <w:iCs/>
        </w:rPr>
        <w:t>3. Las obligaciones establecidas en los apartados anteriores se mantendrán aun cuando hubiese finalizado la relación del obligado con e</w:t>
      </w:r>
      <w:r w:rsidRPr="004D1BC9">
        <w:rPr>
          <w:i/>
          <w:iCs/>
        </w:rPr>
        <w:t>l responsable o encargado del tratamiento».</w:t>
      </w:r>
    </w:p>
    <w:p w14:paraId="40AF821C" w14:textId="77777777" w:rsidR="00BB4BE5" w:rsidRPr="00FF2D6C" w:rsidRDefault="00BB4BE5" w:rsidP="00FF2D6C">
      <w:pPr>
        <w:pStyle w:val="Normal0"/>
        <w:tabs>
          <w:tab w:val="right" w:pos="8789"/>
        </w:tabs>
        <w:jc w:val="both"/>
        <w:rPr>
          <w:sz w:val="22"/>
          <w:szCs w:val="22"/>
        </w:rPr>
      </w:pPr>
    </w:p>
    <w:p w14:paraId="281F3395" w14:textId="77777777" w:rsidR="00BB4BE5" w:rsidRPr="00FF2D6C" w:rsidRDefault="008A1962" w:rsidP="00FF2D6C">
      <w:pPr>
        <w:pStyle w:val="Normal0"/>
        <w:tabs>
          <w:tab w:val="right" w:pos="8789"/>
        </w:tabs>
        <w:jc w:val="both"/>
        <w:rPr>
          <w:sz w:val="22"/>
          <w:szCs w:val="22"/>
        </w:rPr>
      </w:pPr>
      <w:r w:rsidRPr="00FF2D6C">
        <w:rPr>
          <w:sz w:val="22"/>
          <w:szCs w:val="22"/>
        </w:rPr>
        <w:t>Por su parte, el artículo 5.1.f del Reglamento (UE) 2016/679 -en adelante «RGPD»-estatuye que:</w:t>
      </w:r>
    </w:p>
    <w:p w14:paraId="500A9293" w14:textId="77777777" w:rsidR="00BB4BE5" w:rsidRPr="00FF2D6C" w:rsidRDefault="00BB4BE5" w:rsidP="00FF2D6C">
      <w:pPr>
        <w:pStyle w:val="Normal0"/>
        <w:tabs>
          <w:tab w:val="right" w:pos="8789"/>
        </w:tabs>
        <w:jc w:val="both"/>
        <w:rPr>
          <w:sz w:val="22"/>
          <w:szCs w:val="22"/>
        </w:rPr>
      </w:pPr>
    </w:p>
    <w:p w14:paraId="40A5FB20" w14:textId="77777777" w:rsidR="00BB4BE5" w:rsidRPr="004D1BC9" w:rsidRDefault="008A1962" w:rsidP="004D1BC9">
      <w:pPr>
        <w:pStyle w:val="Normal0"/>
        <w:tabs>
          <w:tab w:val="right" w:pos="8789"/>
        </w:tabs>
        <w:ind w:left="708"/>
        <w:jc w:val="both"/>
        <w:rPr>
          <w:i/>
          <w:iCs/>
        </w:rPr>
      </w:pPr>
      <w:r w:rsidRPr="004D1BC9">
        <w:rPr>
          <w:i/>
          <w:iCs/>
        </w:rPr>
        <w:t>“Artículo 5</w:t>
      </w:r>
    </w:p>
    <w:p w14:paraId="3A9FDFC7" w14:textId="77777777" w:rsidR="00BB4BE5" w:rsidRPr="004D1BC9" w:rsidRDefault="008A1962" w:rsidP="004D1BC9">
      <w:pPr>
        <w:pStyle w:val="Normal0"/>
        <w:tabs>
          <w:tab w:val="right" w:pos="8789"/>
        </w:tabs>
        <w:ind w:left="708"/>
        <w:jc w:val="both"/>
        <w:rPr>
          <w:i/>
          <w:iCs/>
        </w:rPr>
      </w:pPr>
      <w:r w:rsidRPr="004D1BC9">
        <w:rPr>
          <w:i/>
          <w:iCs/>
        </w:rPr>
        <w:t>Principios relativos al tratamiento.</w:t>
      </w:r>
    </w:p>
    <w:p w14:paraId="2258B760" w14:textId="77777777" w:rsidR="00BB4BE5" w:rsidRPr="004D1BC9" w:rsidRDefault="008A1962" w:rsidP="004D1BC9">
      <w:pPr>
        <w:pStyle w:val="Normal0"/>
        <w:tabs>
          <w:tab w:val="right" w:pos="8789"/>
        </w:tabs>
        <w:ind w:left="708"/>
        <w:jc w:val="both"/>
        <w:rPr>
          <w:i/>
          <w:iCs/>
        </w:rPr>
      </w:pPr>
      <w:r w:rsidRPr="004D1BC9">
        <w:rPr>
          <w:i/>
          <w:iCs/>
        </w:rPr>
        <w:t xml:space="preserve">1. Los datos personales serán: (…) f) tratados de tal manera </w:t>
      </w:r>
      <w:r w:rsidRPr="004D1BC9">
        <w:rPr>
          <w:i/>
          <w:iCs/>
        </w:rPr>
        <w:t xml:space="preserve">que se garantice una seguridad adecuada de los datos personales, incluida la protección contra el tratamiento no autorizado o ilícito y contra su pérdida, destrucción o daño accidental, mediante la aplicación de medidas técnicas u organizativas apropiadas </w:t>
      </w:r>
      <w:r w:rsidRPr="004D1BC9">
        <w:rPr>
          <w:i/>
          <w:iCs/>
        </w:rPr>
        <w:t>(«integridad y confidencialidad»)”.</w:t>
      </w:r>
    </w:p>
    <w:p w14:paraId="407FAECC" w14:textId="77777777" w:rsidR="00BB4BE5" w:rsidRPr="00FF2D6C" w:rsidRDefault="00BB4BE5" w:rsidP="00FF2D6C">
      <w:pPr>
        <w:pStyle w:val="Normal0"/>
        <w:tabs>
          <w:tab w:val="right" w:pos="8789"/>
        </w:tabs>
        <w:jc w:val="both"/>
        <w:rPr>
          <w:sz w:val="22"/>
          <w:szCs w:val="22"/>
        </w:rPr>
      </w:pPr>
    </w:p>
    <w:p w14:paraId="7D61A88A" w14:textId="77777777" w:rsidR="00BB4BE5" w:rsidRPr="00FF2D6C" w:rsidRDefault="008A1962" w:rsidP="00FF2D6C">
      <w:pPr>
        <w:pStyle w:val="Normal0"/>
        <w:tabs>
          <w:tab w:val="right" w:pos="8789"/>
        </w:tabs>
        <w:jc w:val="both"/>
        <w:rPr>
          <w:sz w:val="22"/>
          <w:szCs w:val="22"/>
        </w:rPr>
      </w:pPr>
      <w:r w:rsidRPr="00FF2D6C">
        <w:rPr>
          <w:sz w:val="22"/>
          <w:szCs w:val="22"/>
        </w:rPr>
        <w:t>En relación con los derechos de los autores de los exámenes requeridos, ciertamente, según la base específica 3.1.2</w:t>
      </w:r>
      <w:r>
        <w:rPr>
          <w:rStyle w:val="Refdenotaalpie"/>
          <w:sz w:val="22"/>
          <w:szCs w:val="22"/>
        </w:rPr>
        <w:footnoteReference w:id="1"/>
      </w:r>
      <w:r w:rsidRPr="00FF2D6C">
        <w:rPr>
          <w:sz w:val="22"/>
          <w:szCs w:val="22"/>
        </w:rPr>
        <w:t xml:space="preserve">, el examen práctico que se llevó a efecto sin que se conociera por los examinadores «la identidad de </w:t>
      </w:r>
      <w:r w:rsidRPr="00FF2D6C">
        <w:rPr>
          <w:sz w:val="22"/>
          <w:szCs w:val="22"/>
        </w:rPr>
        <w:t>los/as aspirantes»; pero a la vista de la publicidad de los resultados y de la posible obtención de las actas del Tribunal Calificador, resultaría sumamente sencillo correlacionar e identificar a cada titular con su respectivo ejercicio. Esta cuestión no e</w:t>
      </w:r>
      <w:r w:rsidRPr="00FF2D6C">
        <w:rPr>
          <w:sz w:val="22"/>
          <w:szCs w:val="22"/>
        </w:rPr>
        <w:t>s baladí, puesto que quien participa en un proceso selectivo asume el tratamiento de sus datos para todos los fines propios de ese procedimiento -base general 5.4 OF 337/2016</w:t>
      </w:r>
      <w:r>
        <w:rPr>
          <w:rStyle w:val="Refdenotaalpie"/>
          <w:sz w:val="22"/>
          <w:szCs w:val="22"/>
        </w:rPr>
        <w:footnoteReference w:id="2"/>
      </w:r>
      <w:r w:rsidRPr="00FF2D6C">
        <w:rPr>
          <w:sz w:val="22"/>
          <w:szCs w:val="22"/>
        </w:rPr>
        <w:t xml:space="preserve"> -, pero resultaría</w:t>
      </w:r>
      <w:r>
        <w:rPr>
          <w:sz w:val="22"/>
          <w:szCs w:val="22"/>
        </w:rPr>
        <w:t xml:space="preserve"> </w:t>
      </w:r>
      <w:r w:rsidRPr="00FF2D6C">
        <w:rPr>
          <w:sz w:val="22"/>
          <w:szCs w:val="22"/>
        </w:rPr>
        <w:t>inasumible</w:t>
      </w:r>
      <w:r>
        <w:rPr>
          <w:sz w:val="22"/>
          <w:szCs w:val="22"/>
        </w:rPr>
        <w:t xml:space="preserve"> </w:t>
      </w:r>
      <w:r w:rsidRPr="00FF2D6C">
        <w:rPr>
          <w:sz w:val="22"/>
          <w:szCs w:val="22"/>
        </w:rPr>
        <w:t>que dicha cesión se trasladase a procedimientos c</w:t>
      </w:r>
      <w:r w:rsidRPr="00FF2D6C">
        <w:rPr>
          <w:sz w:val="22"/>
          <w:szCs w:val="22"/>
        </w:rPr>
        <w:t>omo el actual, en donde, el destino y finalidad de la entrega de la documentación solicitada se desconoce, pudiendo acontecer incluso su potencial divulgación pública, lo cual no se contempla en las bases de la convocatoria, garantizándose la confidenciali</w:t>
      </w:r>
      <w:r w:rsidRPr="00FF2D6C">
        <w:rPr>
          <w:sz w:val="22"/>
          <w:szCs w:val="22"/>
        </w:rPr>
        <w:t>dad e integridad de dicha documentación – de conformidad con los artículos 5.1 f) RGPD y 5 de la LOPDGDD, anteriormente citados-, lo que equivale, a sensu contrario, a proscribir su divulgación – sin perjuicio de la posibilidad de acceso de los propios int</w:t>
      </w:r>
      <w:r w:rsidRPr="00FF2D6C">
        <w:rPr>
          <w:sz w:val="22"/>
          <w:szCs w:val="22"/>
        </w:rPr>
        <w:t>eresados dentro del procedimiento de selección y con las debidas garantías de reserva de los candidatos-. Y es, precisamente en este punto donde la petición formulada choca frontalmente con la obligación de confidencialidad e integridad que detenta esta Ad</w:t>
      </w:r>
      <w:r w:rsidRPr="00FF2D6C">
        <w:rPr>
          <w:sz w:val="22"/>
          <w:szCs w:val="22"/>
        </w:rPr>
        <w:t>ministración, y cuya inobservancia llevaría aparejado un daño potencial para los autores de dichos ejercicios, que, a nuestro entender, no tendrían en el presente procedimiento, y en virtud de lo expuesto, obligación jurídica de soportar.</w:t>
      </w:r>
    </w:p>
    <w:p w14:paraId="268BAD92" w14:textId="77777777" w:rsidR="00BB4BE5" w:rsidRPr="00FF2D6C" w:rsidRDefault="00BB4BE5" w:rsidP="00FF2D6C">
      <w:pPr>
        <w:pStyle w:val="Normal0"/>
        <w:tabs>
          <w:tab w:val="right" w:pos="8789"/>
        </w:tabs>
        <w:jc w:val="both"/>
        <w:rPr>
          <w:sz w:val="22"/>
          <w:szCs w:val="22"/>
        </w:rPr>
      </w:pPr>
    </w:p>
    <w:p w14:paraId="578E8232" w14:textId="77777777" w:rsidR="00BB4BE5" w:rsidRPr="00FF2D6C" w:rsidRDefault="008A1962" w:rsidP="00FF2D6C">
      <w:pPr>
        <w:pStyle w:val="Normal0"/>
        <w:tabs>
          <w:tab w:val="right" w:pos="8789"/>
        </w:tabs>
        <w:jc w:val="both"/>
        <w:rPr>
          <w:sz w:val="22"/>
          <w:szCs w:val="22"/>
        </w:rPr>
      </w:pPr>
      <w:r w:rsidRPr="00FF2D6C">
        <w:rPr>
          <w:sz w:val="22"/>
          <w:szCs w:val="22"/>
        </w:rPr>
        <w:t>En este sentido,</w:t>
      </w:r>
      <w:r w:rsidRPr="00FF2D6C">
        <w:rPr>
          <w:sz w:val="22"/>
          <w:szCs w:val="22"/>
        </w:rPr>
        <w:t xml:space="preserve"> cabe traer a colación el Acuerdo AR 21/2021, de 24 de mayo, del Consejo de Transparencia de Navarra, por el que se resuelve la reclamación formulada frente al Departamento de Presidencia, Igualdad, Función Pública e Interior (Reclamación 15/2021), (en est</w:t>
      </w:r>
      <w:r w:rsidRPr="00FF2D6C">
        <w:rPr>
          <w:sz w:val="22"/>
          <w:szCs w:val="22"/>
        </w:rPr>
        <w:t>e caso se entra sobre el fondo del asunto valorando los límites al acceso, no las causas de inadmisión) cuando dice en su FD 6º que la revelación de los datos personales de los aspirantes «</w:t>
      </w:r>
      <w:r w:rsidRPr="004D1BC9">
        <w:rPr>
          <w:i/>
          <w:iCs/>
          <w:sz w:val="22"/>
          <w:szCs w:val="22"/>
        </w:rPr>
        <w:t>puede suponer un perjuicio para su intimidad o consideración profes</w:t>
      </w:r>
      <w:r w:rsidRPr="004D1BC9">
        <w:rPr>
          <w:i/>
          <w:iCs/>
          <w:sz w:val="22"/>
          <w:szCs w:val="22"/>
        </w:rPr>
        <w:t>ional</w:t>
      </w:r>
      <w:r w:rsidRPr="00FF2D6C">
        <w:rPr>
          <w:sz w:val="22"/>
          <w:szCs w:val="22"/>
        </w:rPr>
        <w:t>», y que, tal y como dice en su FD 7º:</w:t>
      </w:r>
    </w:p>
    <w:p w14:paraId="11258EEF" w14:textId="77777777" w:rsidR="00BB4BE5" w:rsidRPr="00FF2D6C" w:rsidRDefault="00BB4BE5" w:rsidP="00FF2D6C">
      <w:pPr>
        <w:pStyle w:val="Normal0"/>
        <w:tabs>
          <w:tab w:val="right" w:pos="8789"/>
        </w:tabs>
        <w:jc w:val="both"/>
        <w:rPr>
          <w:sz w:val="22"/>
          <w:szCs w:val="22"/>
        </w:rPr>
      </w:pPr>
    </w:p>
    <w:p w14:paraId="68E92756" w14:textId="77777777" w:rsidR="00BB4BE5" w:rsidRPr="004D1BC9" w:rsidRDefault="008A1962" w:rsidP="004D1BC9">
      <w:pPr>
        <w:pStyle w:val="Normal0"/>
        <w:tabs>
          <w:tab w:val="right" w:pos="8789"/>
        </w:tabs>
        <w:ind w:left="708"/>
        <w:jc w:val="both"/>
        <w:rPr>
          <w:i/>
          <w:iCs/>
        </w:rPr>
      </w:pPr>
      <w:r w:rsidRPr="004D1BC9">
        <w:rPr>
          <w:i/>
          <w:iCs/>
        </w:rPr>
        <w:lastRenderedPageBreak/>
        <w:t>«En definitiva, con la pretendida eliminación de los datos de nombre y apellidos de los aspirantes cuyos ejercicios se solicitan, no se garantiza ni se asegura en su plenitud la no revelación a terceros no inter</w:t>
      </w:r>
      <w:r w:rsidRPr="004D1BC9">
        <w:rPr>
          <w:i/>
          <w:iCs/>
        </w:rPr>
        <w:t>esadas de los datos personales que suponen por sí mismo los exámenes y su corrección, ni su posible y probable identificación».</w:t>
      </w:r>
    </w:p>
    <w:p w14:paraId="5396F724" w14:textId="77777777" w:rsidR="00BB4BE5" w:rsidRPr="00FF2D6C" w:rsidRDefault="00BB4BE5" w:rsidP="00FF2D6C">
      <w:pPr>
        <w:pStyle w:val="Normal0"/>
        <w:tabs>
          <w:tab w:val="right" w:pos="8789"/>
        </w:tabs>
        <w:jc w:val="both"/>
        <w:rPr>
          <w:sz w:val="22"/>
          <w:szCs w:val="22"/>
        </w:rPr>
      </w:pPr>
    </w:p>
    <w:p w14:paraId="6194054E" w14:textId="77777777" w:rsidR="00BB4BE5" w:rsidRPr="00FF2D6C" w:rsidRDefault="008A1962" w:rsidP="00FF2D6C">
      <w:pPr>
        <w:pStyle w:val="Normal0"/>
        <w:tabs>
          <w:tab w:val="right" w:pos="8789"/>
        </w:tabs>
        <w:jc w:val="both"/>
        <w:rPr>
          <w:sz w:val="22"/>
          <w:szCs w:val="22"/>
        </w:rPr>
      </w:pPr>
      <w:r w:rsidRPr="00FF2D6C">
        <w:rPr>
          <w:sz w:val="22"/>
          <w:szCs w:val="22"/>
        </w:rPr>
        <w:t>Cabe destacar, igualmente, las palabras de la STSJUE (Sala Segunda), de 20 de diciembre de 20217, asunto C-434/16, en la que en</w:t>
      </w:r>
      <w:r w:rsidRPr="00FF2D6C">
        <w:rPr>
          <w:sz w:val="22"/>
          <w:szCs w:val="22"/>
        </w:rPr>
        <w:t xml:space="preserve"> su ordinal 29 se dice que «es pacífico que un aspirante a un examen profesional es una persona física que puede ser identificada, o bien directamente, por su nombre, o bien indirectamente, mediante un número de identificación, colocados en el escrito del </w:t>
      </w:r>
      <w:r w:rsidRPr="00FF2D6C">
        <w:rPr>
          <w:sz w:val="22"/>
          <w:szCs w:val="22"/>
        </w:rPr>
        <w:t>examen o en su cubierta delantera».</w:t>
      </w:r>
    </w:p>
    <w:p w14:paraId="069C6A64" w14:textId="77777777" w:rsidR="00BB4BE5" w:rsidRPr="00FF2D6C" w:rsidRDefault="00BB4BE5" w:rsidP="00FF2D6C">
      <w:pPr>
        <w:pStyle w:val="Normal0"/>
        <w:tabs>
          <w:tab w:val="right" w:pos="8789"/>
        </w:tabs>
        <w:jc w:val="both"/>
        <w:rPr>
          <w:sz w:val="22"/>
          <w:szCs w:val="22"/>
        </w:rPr>
      </w:pPr>
    </w:p>
    <w:p w14:paraId="39AA24C4" w14:textId="77777777" w:rsidR="00BB4BE5" w:rsidRPr="00FF2D6C" w:rsidRDefault="008A1962" w:rsidP="00FF2D6C">
      <w:pPr>
        <w:pStyle w:val="Normal0"/>
        <w:tabs>
          <w:tab w:val="right" w:pos="8789"/>
        </w:tabs>
        <w:jc w:val="both"/>
        <w:rPr>
          <w:sz w:val="22"/>
          <w:szCs w:val="22"/>
        </w:rPr>
      </w:pPr>
      <w:r w:rsidRPr="00FF2D6C">
        <w:rPr>
          <w:sz w:val="22"/>
          <w:szCs w:val="22"/>
        </w:rPr>
        <w:t>A mayor abundamiento, los ejercicios solicitados son manuscritos por los aspirantes, por lo que la caligrafía de sus autores constituye a este respecto un dato biométrico de estos, tal y como determinó el Dictamen 4/200</w:t>
      </w:r>
      <w:r w:rsidRPr="00FF2D6C">
        <w:rPr>
          <w:sz w:val="22"/>
          <w:szCs w:val="22"/>
        </w:rPr>
        <w:t>7 sobre el concepto de datos personales, del grupo de Trabajo del artículo 29 de la Directiva 95/46/CE, y entendido en el mismo sentido por la Sentencia anteriormente citada cuando dice que:</w:t>
      </w:r>
    </w:p>
    <w:p w14:paraId="4F515403" w14:textId="77777777" w:rsidR="00BB4BE5" w:rsidRPr="00FF2D6C" w:rsidRDefault="00BB4BE5" w:rsidP="00FF2D6C">
      <w:pPr>
        <w:pStyle w:val="Normal0"/>
        <w:tabs>
          <w:tab w:val="right" w:pos="8789"/>
        </w:tabs>
        <w:jc w:val="both"/>
        <w:rPr>
          <w:sz w:val="22"/>
          <w:szCs w:val="22"/>
        </w:rPr>
      </w:pPr>
    </w:p>
    <w:p w14:paraId="7E10C4A3" w14:textId="77777777" w:rsidR="00BB4BE5" w:rsidRPr="004D1BC9" w:rsidRDefault="008A1962" w:rsidP="004D1BC9">
      <w:pPr>
        <w:pStyle w:val="Normal0"/>
        <w:tabs>
          <w:tab w:val="right" w:pos="8789"/>
        </w:tabs>
        <w:ind w:left="708"/>
        <w:jc w:val="both"/>
        <w:rPr>
          <w:i/>
          <w:iCs/>
        </w:rPr>
      </w:pPr>
      <w:r w:rsidRPr="004D1BC9">
        <w:rPr>
          <w:i/>
          <w:iCs/>
        </w:rPr>
        <w:t>«37 En efecto, en primer lugar, el contenido de tales respuestas</w:t>
      </w:r>
      <w:r w:rsidRPr="004D1BC9">
        <w:rPr>
          <w:i/>
          <w:iCs/>
        </w:rPr>
        <w:t xml:space="preserve"> revela el nivel de conocimientos y el grado de competencia del aspirante en un área determinada, así como, en su caso, el proceso de reflexión, el discernimiento y la capacidad de análisis del propio aspirante. Si el examen está escrito a mano, las respue</w:t>
      </w:r>
      <w:r w:rsidRPr="004D1BC9">
        <w:rPr>
          <w:i/>
          <w:iCs/>
        </w:rPr>
        <w:t>stas contienen, además, información sobre su escritura».</w:t>
      </w:r>
    </w:p>
    <w:p w14:paraId="6454A157" w14:textId="77777777" w:rsidR="00BB4BE5" w:rsidRPr="00FF2D6C" w:rsidRDefault="00BB4BE5" w:rsidP="00FF2D6C">
      <w:pPr>
        <w:pStyle w:val="Normal0"/>
        <w:tabs>
          <w:tab w:val="right" w:pos="8789"/>
        </w:tabs>
        <w:jc w:val="both"/>
        <w:rPr>
          <w:sz w:val="22"/>
          <w:szCs w:val="22"/>
        </w:rPr>
      </w:pPr>
    </w:p>
    <w:p w14:paraId="1DBE77D3" w14:textId="77777777" w:rsidR="00BB4BE5" w:rsidRPr="00FF2D6C" w:rsidRDefault="008A1962" w:rsidP="00FF2D6C">
      <w:pPr>
        <w:pStyle w:val="Normal0"/>
        <w:tabs>
          <w:tab w:val="right" w:pos="8789"/>
        </w:tabs>
        <w:jc w:val="both"/>
        <w:rPr>
          <w:sz w:val="22"/>
          <w:szCs w:val="22"/>
        </w:rPr>
      </w:pPr>
      <w:r w:rsidRPr="00FF2D6C">
        <w:rPr>
          <w:sz w:val="22"/>
          <w:szCs w:val="22"/>
        </w:rPr>
        <w:t xml:space="preserve">Ítem más, los exámenes suponen un ejercicio intelectual, y así lo expone la base específica 3.1.2 OF 344/2016 relativa al Segundo ejercicio, cuando dice </w:t>
      </w:r>
      <w:r w:rsidRPr="007B6459">
        <w:rPr>
          <w:i/>
          <w:iCs/>
          <w:sz w:val="22"/>
          <w:szCs w:val="22"/>
        </w:rPr>
        <w:t>in fine</w:t>
      </w:r>
      <w:r w:rsidRPr="00FF2D6C">
        <w:rPr>
          <w:sz w:val="22"/>
          <w:szCs w:val="22"/>
        </w:rPr>
        <w:t xml:space="preserve"> que: </w:t>
      </w:r>
      <w:r w:rsidRPr="007B6459">
        <w:rPr>
          <w:sz w:val="22"/>
          <w:szCs w:val="22"/>
        </w:rPr>
        <w:t>«</w:t>
      </w:r>
      <w:r w:rsidRPr="007B6459">
        <w:rPr>
          <w:i/>
          <w:iCs/>
          <w:sz w:val="22"/>
          <w:szCs w:val="22"/>
        </w:rPr>
        <w:t>(…) para la calificación de este ejercicio se tendrá en cuenta la exactitud de las respue</w:t>
      </w:r>
      <w:r w:rsidRPr="007B6459">
        <w:rPr>
          <w:i/>
          <w:iCs/>
          <w:sz w:val="22"/>
          <w:szCs w:val="22"/>
        </w:rPr>
        <w:t>stas, la capacidad de síntesis y análisis, la riqueza de las ideas desarrolladas, así como la claridad y corrección de la exposición de las mismas</w:t>
      </w:r>
      <w:r w:rsidRPr="00FF2D6C">
        <w:rPr>
          <w:sz w:val="22"/>
          <w:szCs w:val="22"/>
        </w:rPr>
        <w:t>»; por lo que, al menos en el plano hipotético, pudiera colisionar con los derechos de propiedad intelectual d</w:t>
      </w:r>
      <w:r w:rsidRPr="00FF2D6C">
        <w:rPr>
          <w:sz w:val="22"/>
          <w:szCs w:val="22"/>
        </w:rPr>
        <w:t xml:space="preserve">e sus autores. </w:t>
      </w:r>
    </w:p>
    <w:p w14:paraId="2F079EBD" w14:textId="77777777" w:rsidR="00BB4BE5" w:rsidRPr="00FF2D6C" w:rsidRDefault="00BB4BE5" w:rsidP="00FF2D6C">
      <w:pPr>
        <w:pStyle w:val="Normal0"/>
        <w:tabs>
          <w:tab w:val="right" w:pos="8789"/>
        </w:tabs>
        <w:jc w:val="both"/>
        <w:rPr>
          <w:sz w:val="22"/>
          <w:szCs w:val="22"/>
        </w:rPr>
      </w:pPr>
    </w:p>
    <w:p w14:paraId="52617E45" w14:textId="77777777" w:rsidR="00BB4BE5" w:rsidRDefault="008A1962" w:rsidP="00FF2D6C">
      <w:pPr>
        <w:pStyle w:val="Normal0"/>
        <w:tabs>
          <w:tab w:val="right" w:pos="8789"/>
        </w:tabs>
        <w:jc w:val="both"/>
        <w:rPr>
          <w:sz w:val="22"/>
          <w:szCs w:val="22"/>
        </w:rPr>
      </w:pPr>
      <w:r w:rsidRPr="00FF2D6C">
        <w:rPr>
          <w:sz w:val="22"/>
          <w:szCs w:val="22"/>
        </w:rPr>
        <w:t>En conclusión, la solicitud realizada resulta abusiva y no se encuentra amparada por la finalidad de la ley lo cual constituye una carencia manifiesta de fundamento, que conlleva, consecuentemente, a su inadmisión de conformidad con el art</w:t>
      </w:r>
      <w:r w:rsidRPr="00FF2D6C">
        <w:rPr>
          <w:sz w:val="22"/>
          <w:szCs w:val="22"/>
        </w:rPr>
        <w:t>ículo 34.1 NF 1/2017 en relación con el artículo 18.1.e LTAIBG.</w:t>
      </w:r>
    </w:p>
    <w:p w14:paraId="0135ED18" w14:textId="77777777" w:rsidR="00BB4BE5" w:rsidRDefault="00BB4BE5" w:rsidP="00D33F48">
      <w:pPr>
        <w:pStyle w:val="Normal0"/>
        <w:tabs>
          <w:tab w:val="right" w:pos="8789"/>
        </w:tabs>
        <w:jc w:val="both"/>
        <w:rPr>
          <w:sz w:val="22"/>
          <w:szCs w:val="22"/>
        </w:rPr>
      </w:pPr>
    </w:p>
    <w:p w14:paraId="0CD564E6" w14:textId="77777777" w:rsidR="00BB4BE5" w:rsidRDefault="008A1962" w:rsidP="00D33F48">
      <w:pPr>
        <w:pStyle w:val="Normal0"/>
        <w:tabs>
          <w:tab w:val="right" w:pos="8789"/>
        </w:tabs>
        <w:jc w:val="both"/>
        <w:rPr>
          <w:sz w:val="22"/>
        </w:rPr>
      </w:pPr>
      <w:r>
        <w:rPr>
          <w:sz w:val="22"/>
          <w:szCs w:val="22"/>
        </w:rPr>
        <w:t>Por todo cuanto antecede, d</w:t>
      </w:r>
      <w:r w:rsidRPr="00E72919">
        <w:rPr>
          <w:sz w:val="22"/>
          <w:szCs w:val="22"/>
        </w:rPr>
        <w:t>e conformidad con el artículo 35.1 NF 1/2017</w:t>
      </w:r>
      <w:r>
        <w:rPr>
          <w:sz w:val="22"/>
          <w:szCs w:val="22"/>
        </w:rPr>
        <w:t xml:space="preserve"> - en relación con el </w:t>
      </w:r>
      <w:r w:rsidRPr="00B916E4">
        <w:rPr>
          <w:sz w:val="22"/>
        </w:rPr>
        <w:t>Decreto Foral 154/1993 del Consejo de Diputados de 30 de Julio, por el que se establecen las atrib</w:t>
      </w:r>
      <w:r w:rsidRPr="00B916E4">
        <w:rPr>
          <w:sz w:val="22"/>
        </w:rPr>
        <w:t xml:space="preserve">uciones en materia de Función Pública, </w:t>
      </w:r>
      <w:r>
        <w:rPr>
          <w:sz w:val="22"/>
        </w:rPr>
        <w:t>en relación a su vez, con</w:t>
      </w:r>
      <w:r w:rsidRPr="00B916E4">
        <w:rPr>
          <w:sz w:val="22"/>
        </w:rPr>
        <w:t xml:space="preserve"> el Decreto Foral 23/2021, de 1 de junio, por el que se aprueba la estructura orgánica y funcional del Departamento de Fomento del Empleo, Comercio y Turismo y de Administración Foral</w:t>
      </w:r>
      <w:r>
        <w:rPr>
          <w:sz w:val="22"/>
        </w:rPr>
        <w:t>,</w:t>
      </w:r>
      <w:r w:rsidRPr="00B916E4">
        <w:rPr>
          <w:sz w:val="22"/>
        </w:rPr>
        <w:t xml:space="preserve"> y</w:t>
      </w:r>
      <w:r>
        <w:rPr>
          <w:sz w:val="22"/>
        </w:rPr>
        <w:t>, en r</w:t>
      </w:r>
      <w:r>
        <w:rPr>
          <w:sz w:val="22"/>
        </w:rPr>
        <w:t xml:space="preserve">elación todos ellos, </w:t>
      </w:r>
      <w:r w:rsidRPr="00B916E4">
        <w:rPr>
          <w:sz w:val="22"/>
        </w:rPr>
        <w:t>con el Decreto Foral 152/2023, del Diputado General, de 30 de junio, por el que se determinan los Departamentos de la Diputación Foral de Álava para la legislatura 2023-2027</w:t>
      </w:r>
      <w:r>
        <w:rPr>
          <w:sz w:val="22"/>
        </w:rPr>
        <w:t xml:space="preserve">, </w:t>
      </w:r>
      <w:r>
        <w:rPr>
          <w:sz w:val="22"/>
          <w:szCs w:val="22"/>
        </w:rPr>
        <w:t xml:space="preserve">resulta competente para resolver la presente </w:t>
      </w:r>
      <w:r w:rsidRPr="00E72919">
        <w:rPr>
          <w:sz w:val="22"/>
          <w:szCs w:val="22"/>
        </w:rPr>
        <w:t>solicitud la Pr</w:t>
      </w:r>
      <w:r w:rsidRPr="00E72919">
        <w:rPr>
          <w:sz w:val="22"/>
          <w:szCs w:val="22"/>
        </w:rPr>
        <w:t>imera Teniente de Diputado General y Diputada Foral de Empleo, Comercio, Turismo y Administración Foral</w:t>
      </w:r>
      <w:r>
        <w:rPr>
          <w:sz w:val="22"/>
          <w:szCs w:val="22"/>
        </w:rPr>
        <w:t xml:space="preserve">, quien, por medio de la </w:t>
      </w:r>
      <w:r w:rsidRPr="00E72919">
        <w:rPr>
          <w:sz w:val="22"/>
          <w:szCs w:val="22"/>
        </w:rPr>
        <w:t>Orden Foral 243/2020, de 1 de julio, aprobó delegar en la persona titular de la dirección de Función Pública la competencia para</w:t>
      </w:r>
      <w:r w:rsidRPr="00E72919">
        <w:rPr>
          <w:sz w:val="22"/>
          <w:szCs w:val="22"/>
        </w:rPr>
        <w:t xml:space="preserve"> resolver las solicitudes en materia de acceso a la información pública</w:t>
      </w:r>
      <w:r>
        <w:rPr>
          <w:sz w:val="22"/>
          <w:szCs w:val="22"/>
        </w:rPr>
        <w:t xml:space="preserve">, por lo que, en virtud de dicha delegación, </w:t>
      </w:r>
      <w:r w:rsidRPr="00D33F48">
        <w:rPr>
          <w:sz w:val="22"/>
          <w:szCs w:val="22"/>
        </w:rPr>
        <w:t>considerándose como dictada por el órgano delegante</w:t>
      </w:r>
      <w:r>
        <w:rPr>
          <w:sz w:val="22"/>
          <w:szCs w:val="22"/>
        </w:rPr>
        <w:t>,</w:t>
      </w:r>
    </w:p>
    <w:p w14:paraId="718C815A" w14:textId="77777777" w:rsidR="00BB4BE5" w:rsidRDefault="00BB4BE5" w:rsidP="00E72919">
      <w:pPr>
        <w:pStyle w:val="Normal0"/>
        <w:jc w:val="both"/>
        <w:rPr>
          <w:sz w:val="22"/>
        </w:rPr>
      </w:pPr>
    </w:p>
    <w:p w14:paraId="364B4F12" w14:textId="77777777" w:rsidR="00BB4BE5" w:rsidRDefault="008A1962" w:rsidP="00E72919">
      <w:pPr>
        <w:pStyle w:val="BodyTextIndent0"/>
        <w:spacing w:after="360"/>
        <w:ind w:firstLine="0"/>
        <w:jc w:val="center"/>
        <w:rPr>
          <w:rFonts w:ascii="Times New Roman" w:hAnsi="Times New Roman"/>
          <w:color w:val="auto"/>
          <w:sz w:val="22"/>
        </w:rPr>
      </w:pPr>
      <w:r>
        <w:rPr>
          <w:rFonts w:ascii="Times New Roman" w:hAnsi="Times New Roman"/>
          <w:color w:val="auto"/>
          <w:sz w:val="22"/>
        </w:rPr>
        <w:t>RESUELVO</w:t>
      </w:r>
    </w:p>
    <w:p w14:paraId="02254108" w14:textId="2610D37E" w:rsidR="00BB4BE5" w:rsidRDefault="008A1962" w:rsidP="00E72919">
      <w:pPr>
        <w:pStyle w:val="BodyTextIndent0"/>
        <w:ind w:firstLine="0"/>
        <w:rPr>
          <w:rFonts w:ascii="Times New Roman" w:hAnsi="Times New Roman"/>
          <w:b w:val="0"/>
          <w:color w:val="auto"/>
          <w:sz w:val="22"/>
        </w:rPr>
      </w:pPr>
      <w:r w:rsidRPr="00E86E17">
        <w:rPr>
          <w:rFonts w:ascii="Times New Roman" w:hAnsi="Times New Roman"/>
          <w:b w:val="0"/>
          <w:bCs/>
          <w:color w:val="auto"/>
          <w:sz w:val="22"/>
        </w:rPr>
        <w:t>Primero.</w:t>
      </w:r>
      <w:r>
        <w:rPr>
          <w:rFonts w:ascii="Times New Roman" w:hAnsi="Times New Roman"/>
          <w:b w:val="0"/>
          <w:color w:val="auto"/>
          <w:sz w:val="22"/>
        </w:rPr>
        <w:t xml:space="preserve"> </w:t>
      </w:r>
      <w:bookmarkStart w:id="3" w:name="_Hlk118883840"/>
      <w:r w:rsidRPr="00D33F48">
        <w:rPr>
          <w:rFonts w:ascii="Times New Roman" w:hAnsi="Times New Roman"/>
          <w:b w:val="0"/>
          <w:color w:val="auto"/>
          <w:sz w:val="22"/>
        </w:rPr>
        <w:t xml:space="preserve">Inadmitir la solicitud de acceso a información pública </w:t>
      </w:r>
      <w:r w:rsidRPr="00D33F48">
        <w:rPr>
          <w:rFonts w:ascii="Times New Roman" w:hAnsi="Times New Roman"/>
          <w:b w:val="0"/>
          <w:color w:val="auto"/>
          <w:sz w:val="22"/>
        </w:rPr>
        <w:t xml:space="preserve">presentada por </w:t>
      </w:r>
      <w:r w:rsidRPr="008A1962">
        <w:rPr>
          <w:rFonts w:ascii="Times New Roman" w:hAnsi="Times New Roman"/>
          <w:b w:val="0"/>
          <w:color w:val="000000" w:themeColor="text1"/>
          <w:sz w:val="22"/>
          <w:szCs w:val="22"/>
          <w:shd w:val="clear" w:color="auto" w:fill="000000" w:themeFill="text1"/>
          <w:lang w:eastAsia="es-ES"/>
        </w:rPr>
        <w:t>xxxxxxxx</w:t>
      </w:r>
      <w:r w:rsidRPr="00D33F48">
        <w:rPr>
          <w:rFonts w:ascii="Times New Roman" w:hAnsi="Times New Roman"/>
          <w:b w:val="0"/>
          <w:color w:val="auto"/>
          <w:sz w:val="22"/>
        </w:rPr>
        <w:t xml:space="preserve"> </w:t>
      </w:r>
      <w:r w:rsidRPr="00D33F48">
        <w:rPr>
          <w:rFonts w:ascii="Times New Roman" w:hAnsi="Times New Roman"/>
          <w:b w:val="0"/>
          <w:color w:val="auto"/>
          <w:sz w:val="22"/>
        </w:rPr>
        <w:t>por tener un carácter abusivo no justificado con una finalidad amparada legalmente.</w:t>
      </w:r>
    </w:p>
    <w:p w14:paraId="6A3C7B10" w14:textId="77777777" w:rsidR="00BB4BE5" w:rsidRPr="003B11AB" w:rsidRDefault="008A1962" w:rsidP="00E72919">
      <w:pPr>
        <w:pStyle w:val="BodyTextIndent0"/>
        <w:ind w:firstLine="0"/>
        <w:rPr>
          <w:rFonts w:ascii="Times New Roman" w:hAnsi="Times New Roman"/>
          <w:b w:val="0"/>
          <w:bCs/>
          <w:color w:val="auto"/>
          <w:sz w:val="22"/>
        </w:rPr>
      </w:pPr>
      <w:r>
        <w:rPr>
          <w:rFonts w:ascii="Times New Roman" w:hAnsi="Times New Roman"/>
          <w:b w:val="0"/>
          <w:bCs/>
          <w:color w:val="auto"/>
          <w:sz w:val="22"/>
        </w:rPr>
        <w:t>Segundo.</w:t>
      </w:r>
      <w:bookmarkEnd w:id="3"/>
      <w:r w:rsidRPr="003B11AB">
        <w:rPr>
          <w:rFonts w:ascii="Times New Roman" w:hAnsi="Times New Roman"/>
          <w:b w:val="0"/>
          <w:bCs/>
          <w:color w:val="auto"/>
          <w:sz w:val="22"/>
        </w:rPr>
        <w:t xml:space="preserve"> </w:t>
      </w:r>
      <w:r w:rsidRPr="00D33F48">
        <w:rPr>
          <w:rFonts w:ascii="Times New Roman" w:hAnsi="Times New Roman"/>
          <w:b w:val="0"/>
          <w:bCs/>
          <w:color w:val="auto"/>
          <w:sz w:val="22"/>
        </w:rPr>
        <w:t>Contra la presente Resolución, que agota la vía administrativa, podrá interponerse</w:t>
      </w:r>
      <w:r w:rsidRPr="00D33F48">
        <w:t xml:space="preserve"> </w:t>
      </w:r>
      <w:r w:rsidRPr="00D33F48">
        <w:rPr>
          <w:rFonts w:ascii="Times New Roman" w:hAnsi="Times New Roman"/>
          <w:b w:val="0"/>
          <w:bCs/>
          <w:color w:val="auto"/>
          <w:sz w:val="22"/>
        </w:rPr>
        <w:t xml:space="preserve">en el plazo de dos meses a partir del </w:t>
      </w:r>
      <w:r w:rsidRPr="00D33F48">
        <w:rPr>
          <w:rFonts w:ascii="Times New Roman" w:hAnsi="Times New Roman"/>
          <w:b w:val="0"/>
          <w:bCs/>
          <w:color w:val="auto"/>
          <w:sz w:val="22"/>
        </w:rPr>
        <w:t>día siguiente a la presente notificación, recurso contencioso-administrativo ante el Juzgado de lo Contencioso-Administrativo de Vitoria-Gasteiz, de acuerdo con lo previsto en los artículos 8 y 46.1 de la Ley 29/1998, de 13 de julio, reguladora de la Juris</w:t>
      </w:r>
      <w:r w:rsidRPr="00D33F48">
        <w:rPr>
          <w:rFonts w:ascii="Times New Roman" w:hAnsi="Times New Roman"/>
          <w:b w:val="0"/>
          <w:bCs/>
          <w:color w:val="auto"/>
          <w:sz w:val="22"/>
        </w:rPr>
        <w:t xml:space="preserve">dicción Contencioso Administrativa; o, </w:t>
      </w:r>
      <w:r>
        <w:rPr>
          <w:rFonts w:ascii="Times New Roman" w:hAnsi="Times New Roman"/>
          <w:b w:val="0"/>
          <w:bCs/>
          <w:color w:val="auto"/>
          <w:sz w:val="22"/>
        </w:rPr>
        <w:t>con carácter potestativo, y previo</w:t>
      </w:r>
      <w:r w:rsidRPr="00D33F48">
        <w:rPr>
          <w:rFonts w:ascii="Times New Roman" w:hAnsi="Times New Roman"/>
          <w:b w:val="0"/>
          <w:bCs/>
          <w:color w:val="auto"/>
          <w:sz w:val="22"/>
        </w:rPr>
        <w:t xml:space="preserve"> a su impugnación en vía contencioso-administrativa, reclamación en el plazo de un mes desde el día siguiente a la presente notificación</w:t>
      </w:r>
      <w:r>
        <w:rPr>
          <w:rFonts w:ascii="Times New Roman" w:hAnsi="Times New Roman"/>
          <w:b w:val="0"/>
          <w:bCs/>
          <w:color w:val="auto"/>
          <w:sz w:val="22"/>
        </w:rPr>
        <w:t xml:space="preserve"> </w:t>
      </w:r>
      <w:r w:rsidRPr="00D33F48">
        <w:rPr>
          <w:rFonts w:ascii="Times New Roman" w:hAnsi="Times New Roman"/>
          <w:b w:val="0"/>
          <w:bCs/>
          <w:color w:val="auto"/>
          <w:sz w:val="22"/>
        </w:rPr>
        <w:t xml:space="preserve">ante el Consejo Foral de Transparencia.  </w:t>
      </w:r>
    </w:p>
    <w:p w14:paraId="2D4A06A2" w14:textId="77777777" w:rsidR="00BB4BE5" w:rsidRDefault="008A1962" w:rsidP="00E72919">
      <w:pPr>
        <w:pStyle w:val="Normal0"/>
        <w:spacing w:before="240"/>
        <w:rPr>
          <w:sz w:val="22"/>
        </w:rPr>
      </w:pPr>
      <w:r>
        <w:rPr>
          <w:sz w:val="22"/>
        </w:rPr>
        <w:t>Vito</w:t>
      </w:r>
      <w:r>
        <w:rPr>
          <w:sz w:val="22"/>
        </w:rPr>
        <w:t xml:space="preserve">ria-Gasteiz. </w:t>
      </w:r>
    </w:p>
    <w:p w14:paraId="0BED3BF6" w14:textId="77777777" w:rsidR="00BB4BE5" w:rsidRDefault="00BB4BE5" w:rsidP="00E72919">
      <w:pPr>
        <w:pStyle w:val="Normal0"/>
        <w:spacing w:before="240"/>
        <w:rPr>
          <w:sz w:val="22"/>
        </w:rPr>
      </w:pPr>
    </w:p>
    <w:p w14:paraId="27220E4E" w14:textId="77777777" w:rsidR="00BB4BE5" w:rsidRDefault="00BB4BE5" w:rsidP="00E72919">
      <w:pPr>
        <w:pStyle w:val="Normal0"/>
        <w:spacing w:before="240"/>
        <w:rPr>
          <w:sz w:val="22"/>
        </w:rPr>
      </w:pPr>
    </w:p>
    <w:p w14:paraId="608B9A2E" w14:textId="77777777" w:rsidR="00BB4BE5" w:rsidRDefault="008A1962" w:rsidP="00E72919">
      <w:pPr>
        <w:pStyle w:val="Normal0"/>
        <w:autoSpaceDE w:val="0"/>
        <w:autoSpaceDN w:val="0"/>
        <w:adjustRightInd w:val="0"/>
        <w:rPr>
          <w:rFonts w:ascii="TimesNewRomanPS-BoldMT" w:eastAsia="Calibri" w:hAnsi="TimesNewRomanPS-BoldMT" w:cs="TimesNewRomanPS-BoldMT"/>
          <w:b/>
          <w:bCs/>
          <w:sz w:val="22"/>
          <w:szCs w:val="22"/>
          <w:lang w:val="es-ES" w:eastAsia="en-US"/>
        </w:rPr>
      </w:pPr>
      <w:r>
        <w:rPr>
          <w:rFonts w:ascii="TimesNewRomanPS-BoldMT" w:eastAsia="Calibri" w:hAnsi="TimesNewRomanPS-BoldMT" w:cs="TimesNewRomanPS-BoldMT"/>
          <w:b/>
          <w:bCs/>
          <w:sz w:val="22"/>
          <w:szCs w:val="22"/>
          <w:lang w:val="es-ES" w:eastAsia="en-US"/>
        </w:rPr>
        <w:t>María José Fernández Alonso</w:t>
      </w:r>
    </w:p>
    <w:p w14:paraId="66A6BA5D" w14:textId="77777777" w:rsidR="00BB4BE5" w:rsidRDefault="008A1962" w:rsidP="00E72919">
      <w:pPr>
        <w:pStyle w:val="Normal0"/>
        <w:autoSpaceDE w:val="0"/>
        <w:autoSpaceDN w:val="0"/>
        <w:adjustRightInd w:val="0"/>
        <w:rPr>
          <w:rFonts w:ascii="TimesNewRomanPSMT" w:eastAsia="Calibri" w:hAnsi="TimesNewRomanPSMT" w:cs="TimesNewRomanPSMT"/>
          <w:sz w:val="22"/>
          <w:szCs w:val="22"/>
          <w:lang w:val="es-ES" w:eastAsia="en-US"/>
        </w:rPr>
      </w:pPr>
      <w:r>
        <w:rPr>
          <w:rFonts w:ascii="TimesNewRomanPSMT" w:eastAsia="Calibri" w:hAnsi="TimesNewRomanPSMT" w:cs="TimesNewRomanPSMT"/>
          <w:sz w:val="22"/>
          <w:szCs w:val="22"/>
          <w:lang w:val="es-ES" w:eastAsia="en-US"/>
        </w:rPr>
        <w:t>Funtzio Publikoko Zuzendaria</w:t>
      </w:r>
    </w:p>
    <w:p w14:paraId="254871F4" w14:textId="77777777" w:rsidR="00BB4BE5" w:rsidRDefault="008A1962" w:rsidP="00E72919">
      <w:pPr>
        <w:pStyle w:val="Normal0"/>
      </w:pPr>
      <w:r>
        <w:rPr>
          <w:rFonts w:ascii="TimesNewRomanPSMT" w:eastAsia="Calibri" w:hAnsi="TimesNewRomanPSMT" w:cs="TimesNewRomanPSMT"/>
          <w:sz w:val="22"/>
          <w:szCs w:val="22"/>
          <w:lang w:val="es-ES" w:eastAsia="en-US"/>
        </w:rPr>
        <w:t>Directora de Función Pública</w:t>
      </w:r>
    </w:p>
    <w:p w14:paraId="67487441" w14:textId="77777777" w:rsidR="00BB4BE5" w:rsidRDefault="00BB4BE5" w:rsidP="00E72919">
      <w:pPr>
        <w:pStyle w:val="Normal0"/>
      </w:pPr>
    </w:p>
    <w:p w14:paraId="61A0E0EA" w14:textId="77777777" w:rsidR="00BB4BE5" w:rsidRDefault="00BB4BE5" w:rsidP="00E72919">
      <w:pPr>
        <w:pStyle w:val="Normal0"/>
      </w:pPr>
    </w:p>
    <w:p w14:paraId="73E16226" w14:textId="77777777" w:rsidR="00BB4BE5" w:rsidRDefault="00BB4BE5" w:rsidP="00E72919">
      <w:pPr>
        <w:pStyle w:val="Normal0"/>
      </w:pPr>
    </w:p>
    <w:p w14:paraId="287F3049" w14:textId="77777777" w:rsidR="00BB4BE5" w:rsidRDefault="00BB4BE5" w:rsidP="00E72919">
      <w:pPr>
        <w:pStyle w:val="Normal0"/>
      </w:pPr>
    </w:p>
    <w:p w14:paraId="326C2A53" w14:textId="77777777" w:rsidR="00BB4BE5" w:rsidRDefault="00BB4BE5" w:rsidP="00E72919">
      <w:pPr>
        <w:pStyle w:val="Normal0"/>
      </w:pPr>
    </w:p>
    <w:bookmarkEnd w:id="1"/>
    <w:p w14:paraId="7AA088C4" w14:textId="77777777" w:rsidR="00BB4BE5" w:rsidRDefault="00BB4BE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BABC681" w14:textId="77777777" w:rsidR="00BB4BE5" w:rsidRDefault="00BB4BE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bookmarkEnd w:id="0"/>
    <w:p w14:paraId="07EB3415" w14:textId="77777777" w:rsidR="00BB4BE5" w:rsidRDefault="00BB4BE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BB4BE5" w:rsidSect="00E53B88">
      <w:headerReference w:type="default" r:id="rId8"/>
      <w:footerReference w:type="default" r:id="rId9"/>
      <w:headerReference w:type="first" r:id="rId10"/>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7420" w14:textId="77777777" w:rsidR="00BE4DDF" w:rsidRDefault="00BE4DDF">
      <w:r>
        <w:separator/>
      </w:r>
    </w:p>
  </w:endnote>
  <w:endnote w:type="continuationSeparator" w:id="0">
    <w:p w14:paraId="1F9474D8" w14:textId="77777777" w:rsidR="00BE4DDF" w:rsidRDefault="00BE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D8465D" w14:paraId="5CCDB1F4" w14:textId="77777777" w:rsidTr="00E47DB3">
      <w:trPr>
        <w:trHeight w:val="567"/>
      </w:trPr>
      <w:tc>
        <w:tcPr>
          <w:tcW w:w="9921" w:type="dxa"/>
        </w:tcPr>
        <w:p w14:paraId="1FFA34F1" w14:textId="77777777" w:rsidR="00BB4BE5" w:rsidRPr="00E47DB3" w:rsidRDefault="008A1962"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p>
      </w:tc>
    </w:tr>
  </w:tbl>
  <w:p w14:paraId="5A30C484" w14:textId="77777777" w:rsidR="00BB4BE5" w:rsidRDefault="00BB4B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EB243" w14:textId="77777777" w:rsidR="00BE4DDF" w:rsidRDefault="00BE4DDF">
      <w:r>
        <w:separator/>
      </w:r>
    </w:p>
  </w:footnote>
  <w:footnote w:type="continuationSeparator" w:id="0">
    <w:p w14:paraId="42374B59" w14:textId="77777777" w:rsidR="00BE4DDF" w:rsidRDefault="00BE4DDF">
      <w:r>
        <w:continuationSeparator/>
      </w:r>
    </w:p>
  </w:footnote>
  <w:footnote w:id="1">
    <w:p w14:paraId="0928AFBC" w14:textId="77777777" w:rsidR="00BB4BE5" w:rsidRPr="0031267A" w:rsidRDefault="008A1962">
      <w:pPr>
        <w:pStyle w:val="Textonotapie"/>
        <w:rPr>
          <w:lang w:val="es-ES"/>
        </w:rPr>
      </w:pPr>
      <w:r>
        <w:rPr>
          <w:rStyle w:val="Refdenotaalpie"/>
        </w:rPr>
        <w:footnoteRef/>
      </w:r>
      <w:r>
        <w:t xml:space="preserve"> </w:t>
      </w:r>
      <w:r w:rsidRPr="00BD3864">
        <w:t xml:space="preserve">Anexo I de la Orden Foral 344/2016, de 21 de noviembre por la que se </w:t>
      </w:r>
      <w:r w:rsidRPr="00BD3864">
        <w:t xml:space="preserve">aprueba la convocatoria y bases específicas que han de regir el proceso selectivo para el ingreso como funcionario/a de carrera de la Escala de Administración Especial, Subescala Técnica, Clase Técnicos Superiores, Derecho, de la Administración General de </w:t>
      </w:r>
      <w:r w:rsidRPr="00BD3864">
        <w:t>la Diputación Foral de Álava, en adelante «OF 344/2016»-.</w:t>
      </w:r>
    </w:p>
  </w:footnote>
  <w:footnote w:id="2">
    <w:p w14:paraId="78EA77DD" w14:textId="77777777" w:rsidR="00BB4BE5" w:rsidRPr="0031267A" w:rsidRDefault="008A1962">
      <w:pPr>
        <w:pStyle w:val="Textonotapie"/>
        <w:rPr>
          <w:lang w:val="es-ES"/>
        </w:rPr>
      </w:pPr>
      <w:r>
        <w:rPr>
          <w:rStyle w:val="Refdenotaalpie"/>
        </w:rPr>
        <w:footnoteRef/>
      </w:r>
      <w:r>
        <w:t xml:space="preserve"> Anexo de la Orden Foral 337/2016, de 18 de noviembre por la que se aprueban las bases generales que han de regir los procesos selectivos para el ingreso como funcionario/a de carrera al servicio d</w:t>
      </w:r>
      <w:r>
        <w:t>e la Administración General de la Diputación Foral de Álava previstos en el Acuerdo 499/2016, de 3 de agosto, del Consejo de Diputados, por el que se aprueba la oferta de empleo público para el año 2016 de la Administración General de la Diputación Foral d</w:t>
      </w:r>
      <w:r>
        <w:t>e Álava, en adelante «OF 337/2016».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8465D" w14:paraId="0994CC20" w14:textId="77777777" w:rsidTr="001A0E0E">
      <w:trPr>
        <w:cantSplit/>
        <w:trHeight w:hRule="exact" w:val="567"/>
      </w:trPr>
      <w:tc>
        <w:tcPr>
          <w:tcW w:w="4536" w:type="dxa"/>
          <w:vAlign w:val="center"/>
        </w:tcPr>
        <w:p w14:paraId="00D5F290" w14:textId="77777777" w:rsidR="00BB4BE5" w:rsidRDefault="00BB4BE5" w:rsidP="0078412B">
          <w:pPr>
            <w:pStyle w:val="Encabezado"/>
          </w:pPr>
        </w:p>
      </w:tc>
      <w:tc>
        <w:tcPr>
          <w:tcW w:w="851" w:type="dxa"/>
          <w:vMerge w:val="restart"/>
          <w:vAlign w:val="center"/>
        </w:tcPr>
        <w:p w14:paraId="2AC73CA8" w14:textId="77777777" w:rsidR="00BB4BE5" w:rsidRDefault="008A1962" w:rsidP="0078412B">
          <w:pPr>
            <w:pStyle w:val="Encabezado"/>
            <w:jc w:val="center"/>
          </w:pPr>
          <w:r>
            <w:rPr>
              <w:noProof/>
              <w:lang w:val="es-ES"/>
            </w:rPr>
            <w:drawing>
              <wp:inline distT="0" distB="0" distL="0" distR="0" wp14:anchorId="29723E27" wp14:editId="1EC724D4">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386EB14E" w14:textId="77777777" w:rsidR="00BB4BE5" w:rsidRDefault="00BB4BE5" w:rsidP="0078412B">
          <w:pPr>
            <w:pStyle w:val="Encabezado"/>
          </w:pPr>
        </w:p>
      </w:tc>
    </w:tr>
    <w:tr w:rsidR="00D8465D" w14:paraId="7638D668" w14:textId="77777777" w:rsidTr="001A0E0E">
      <w:trPr>
        <w:cantSplit/>
        <w:trHeight w:hRule="exact" w:val="567"/>
      </w:trPr>
      <w:tc>
        <w:tcPr>
          <w:tcW w:w="4536" w:type="dxa"/>
          <w:vAlign w:val="center"/>
        </w:tcPr>
        <w:p w14:paraId="2C67AE0F" w14:textId="77777777" w:rsidR="00BB4BE5" w:rsidRDefault="00BB4BE5" w:rsidP="0078412B">
          <w:pPr>
            <w:pStyle w:val="Encabezado"/>
          </w:pPr>
        </w:p>
      </w:tc>
      <w:tc>
        <w:tcPr>
          <w:tcW w:w="851" w:type="dxa"/>
          <w:vMerge/>
          <w:vAlign w:val="center"/>
        </w:tcPr>
        <w:p w14:paraId="208D4566" w14:textId="77777777" w:rsidR="00BB4BE5" w:rsidRDefault="00BB4BE5" w:rsidP="0078412B">
          <w:pPr>
            <w:pStyle w:val="Encabezado"/>
            <w:jc w:val="center"/>
          </w:pPr>
        </w:p>
      </w:tc>
      <w:tc>
        <w:tcPr>
          <w:tcW w:w="4536" w:type="dxa"/>
          <w:vAlign w:val="center"/>
        </w:tcPr>
        <w:p w14:paraId="66AC2CA0" w14:textId="77777777" w:rsidR="00BB4BE5" w:rsidRDefault="00BB4BE5" w:rsidP="0078412B">
          <w:pPr>
            <w:pStyle w:val="Encabezado"/>
          </w:pPr>
        </w:p>
      </w:tc>
    </w:tr>
  </w:tbl>
  <w:p w14:paraId="7D863D47" w14:textId="77777777" w:rsidR="00BB4BE5" w:rsidRPr="0013766D" w:rsidRDefault="00BB4BE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8465D" w14:paraId="494F9F99" w14:textId="77777777" w:rsidTr="001F2BE9">
      <w:trPr>
        <w:trHeight w:val="2041"/>
      </w:trPr>
      <w:tc>
        <w:tcPr>
          <w:tcW w:w="3969" w:type="dxa"/>
        </w:tcPr>
        <w:p w14:paraId="5D2B646C" w14:textId="77777777" w:rsidR="00BB4BE5" w:rsidRPr="007F2571" w:rsidRDefault="008A1962"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58DC9781" wp14:editId="21AD1C70">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64B86C48" w14:textId="77777777" w:rsidR="00BB4BE5" w:rsidRDefault="00BB4BE5" w:rsidP="00470015">
          <w:pPr>
            <w:pStyle w:val="Piedepgina"/>
            <w:rPr>
              <w:rFonts w:ascii="Arial" w:hAnsi="Arial" w:cs="Arial"/>
              <w:b/>
              <w:bCs/>
              <w:color w:val="808080" w:themeColor="background1" w:themeShade="80"/>
              <w:sz w:val="12"/>
              <w:szCs w:val="12"/>
              <w:lang w:val="es-ES"/>
            </w:rPr>
          </w:pPr>
        </w:p>
        <w:p w14:paraId="121EF953" w14:textId="77777777" w:rsidR="00BB4BE5" w:rsidRPr="000B6392" w:rsidRDefault="00BB4BE5" w:rsidP="00470015">
          <w:pPr>
            <w:pStyle w:val="Encabezado"/>
            <w:rPr>
              <w:rFonts w:ascii="Arial" w:hAnsi="Arial" w:cs="Arial"/>
              <w:b/>
              <w:color w:val="808080" w:themeColor="background1" w:themeShade="80"/>
              <w:sz w:val="16"/>
              <w:szCs w:val="16"/>
            </w:rPr>
          </w:pPr>
        </w:p>
      </w:tc>
    </w:tr>
  </w:tbl>
  <w:p w14:paraId="0EAA7E23" w14:textId="77777777" w:rsidR="00BB4BE5" w:rsidRPr="0013766D" w:rsidRDefault="00BB4BE5"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2120176136">
    <w:abstractNumId w:val="0"/>
  </w:num>
  <w:num w:numId="2" w16cid:durableId="2121098173">
    <w:abstractNumId w:val="2"/>
  </w:num>
  <w:num w:numId="3" w16cid:durableId="1211384849">
    <w:abstractNumId w:val="1"/>
  </w:num>
  <w:num w:numId="4" w16cid:durableId="677660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5D"/>
    <w:rsid w:val="001F5FA6"/>
    <w:rsid w:val="008A1962"/>
    <w:rsid w:val="00BB4BE5"/>
    <w:rsid w:val="00BE4DDF"/>
    <w:rsid w:val="00CD29B7"/>
    <w:rsid w:val="00D464D9"/>
    <w:rsid w:val="00D846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93700"/>
  <w15:docId w15:val="{B82087F5-D4FE-4193-B417-84DBEC1E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sid w:val="00E72919"/>
    <w:rPr>
      <w:rFonts w:ascii="Times New Roman" w:hAnsi="Times New Roman"/>
      <w:lang w:val="es-ES_tradnl"/>
    </w:rPr>
  </w:style>
  <w:style w:type="paragraph" w:customStyle="1" w:styleId="BodyTextIndent0">
    <w:name w:val="Body Text Indent_0"/>
    <w:basedOn w:val="Normal0"/>
    <w:link w:val="SangradetextonormalCar"/>
    <w:semiHidden/>
    <w:rsid w:val="00E72919"/>
    <w:pPr>
      <w:spacing w:after="240"/>
      <w:ind w:firstLine="1134"/>
      <w:jc w:val="both"/>
    </w:pPr>
    <w:rPr>
      <w:rFonts w:ascii="Arial" w:hAnsi="Arial"/>
      <w:b/>
      <w:color w:val="FF0000"/>
      <w:sz w:val="24"/>
      <w:lang w:eastAsia="en-US"/>
    </w:rPr>
  </w:style>
  <w:style w:type="character" w:customStyle="1" w:styleId="SangradetextonormalCar">
    <w:name w:val="Sangría de texto normal Car"/>
    <w:basedOn w:val="Fuentedeprrafopredeter"/>
    <w:link w:val="BodyTextIndent0"/>
    <w:semiHidden/>
    <w:rsid w:val="00E72919"/>
    <w:rPr>
      <w:rFonts w:ascii="Arial" w:eastAsia="Times New Roman" w:hAnsi="Arial" w:cs="Times New Roman"/>
      <w:b/>
      <w:color w:val="FF0000"/>
      <w:kern w:val="0"/>
      <w:sz w:val="24"/>
      <w:szCs w:val="20"/>
      <w:lang w:val="es-ES_tradnl" w:eastAsia="es-ES"/>
    </w:rPr>
  </w:style>
  <w:style w:type="character" w:styleId="Refdenotaalpie">
    <w:name w:val="footnote reference"/>
    <w:basedOn w:val="Fuentedeprrafopredeter"/>
    <w:uiPriority w:val="99"/>
    <w:semiHidden/>
    <w:unhideWhenUsed/>
    <w:rsid w:val="007D2AC5"/>
    <w:rPr>
      <w:rFonts w:ascii="Times New Roman" w:hAnsi="Times New Roman"/>
      <w:vertAlign w:val="superscript"/>
      <w:lang w:eastAsia="en-US"/>
    </w:rPr>
  </w:style>
  <w:style w:type="paragraph" w:styleId="Textonotapie">
    <w:name w:val="footnote text"/>
    <w:basedOn w:val="Normal0"/>
    <w:link w:val="TextonotapieCar"/>
    <w:uiPriority w:val="99"/>
    <w:semiHidden/>
    <w:unhideWhenUsed/>
    <w:rsid w:val="007D2AC5"/>
    <w:rPr>
      <w:lang w:eastAsia="en-US"/>
    </w:rPr>
  </w:style>
  <w:style w:type="character" w:customStyle="1" w:styleId="TextonotapieCar">
    <w:name w:val="Texto nota pie Car"/>
    <w:basedOn w:val="Fuentedeprrafopredeter"/>
    <w:link w:val="Textonotapie"/>
    <w:uiPriority w:val="99"/>
    <w:semiHidden/>
    <w:rsid w:val="007D2AC5"/>
    <w:rPr>
      <w:rFonts w:ascii="Times New Roman" w:eastAsia="Times New Roman" w:hAnsi="Times New Roman" w:cs="Times New Roman"/>
      <w:kern w:val="0"/>
      <w:sz w:val="20"/>
      <w:szCs w:val="20"/>
      <w:lang w:val="es-ES_tradnl" w:eastAsia="es-ES"/>
    </w:rPr>
  </w:style>
  <w:style w:type="character" w:customStyle="1" w:styleId="TextoindependienteCar">
    <w:name w:val="Texto independiente Car"/>
    <w:basedOn w:val="Fuentedeprrafopredeter"/>
    <w:link w:val="Textoindependiente"/>
    <w:semiHidden/>
    <w:rsid w:val="00CD29B7"/>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13</TotalTime>
  <Pages>6</Pages>
  <Words>3160</Words>
  <Characters>16832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3</cp:revision>
  <cp:lastPrinted>2015-02-16T14:04:00Z</cp:lastPrinted>
  <dcterms:created xsi:type="dcterms:W3CDTF">2024-02-27T07:47:00Z</dcterms:created>
  <dcterms:modified xsi:type="dcterms:W3CDTF">2024-02-27T08:00:00Z</dcterms:modified>
</cp:coreProperties>
</file>