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871AA1" w14:paraId="489AAD9D" w14:textId="77777777" w:rsidTr="009A271C">
        <w:trPr>
          <w:trHeight w:val="2093"/>
        </w:trPr>
        <w:tc>
          <w:tcPr>
            <w:tcW w:w="4375" w:type="dxa"/>
            <w:hideMark/>
          </w:tcPr>
          <w:p w14:paraId="708AA5C0" w14:textId="77777777" w:rsidR="00BE2D5E" w:rsidRPr="002E6E2A" w:rsidRDefault="00871AA1" w:rsidP="00BE2D5E">
            <w:pPr>
              <w:pStyle w:val="Ttulo1"/>
              <w:spacing w:before="120" w:after="120"/>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w:t>
            </w:r>
            <w:r w:rsidR="00BE2D5E">
              <w:rPr>
                <w:rFonts w:ascii="Times New Roman" w:hAnsi="Times New Roman"/>
                <w:b w:val="0"/>
                <w:sz w:val="22"/>
                <w:u w:val="none"/>
                <w:lang w:eastAsia="en-US"/>
              </w:rPr>
              <w:t xml:space="preserve">Recurso Especial PROTECCION GERIATRICA 2005, S.L. contra la </w:t>
            </w:r>
            <w:r w:rsidR="00BE2D5E" w:rsidRPr="002E6E2A">
              <w:rPr>
                <w:rFonts w:ascii="Times New Roman" w:hAnsi="Times New Roman"/>
                <w:b w:val="0"/>
                <w:sz w:val="22"/>
                <w:u w:val="none"/>
                <w:lang w:eastAsia="en-US"/>
              </w:rPr>
              <w:t>adjudicación de</w:t>
            </w:r>
            <w:r w:rsidR="00BE2D5E">
              <w:rPr>
                <w:rFonts w:ascii="Times New Roman" w:hAnsi="Times New Roman"/>
                <w:b w:val="0"/>
                <w:sz w:val="22"/>
                <w:u w:val="none"/>
                <w:lang w:eastAsia="en-US"/>
              </w:rPr>
              <w:t xml:space="preserve">l lote 3 Cuadrilla de Añana y </w:t>
            </w:r>
            <w:proofErr w:type="spellStart"/>
            <w:r w:rsidR="00BE2D5E">
              <w:rPr>
                <w:rFonts w:ascii="Times New Roman" w:hAnsi="Times New Roman"/>
                <w:b w:val="0"/>
                <w:sz w:val="22"/>
                <w:u w:val="none"/>
                <w:lang w:eastAsia="en-US"/>
              </w:rPr>
              <w:t>Gorbeialdea</w:t>
            </w:r>
            <w:proofErr w:type="spellEnd"/>
            <w:r w:rsidR="00BE2D5E">
              <w:rPr>
                <w:rFonts w:ascii="Times New Roman" w:hAnsi="Times New Roman"/>
                <w:b w:val="0"/>
                <w:sz w:val="22"/>
                <w:u w:val="none"/>
                <w:lang w:eastAsia="en-US"/>
              </w:rPr>
              <w:t xml:space="preserve"> del servicio de ayuda a domicilio en el Territorio Histórico de Alava.</w:t>
            </w:r>
          </w:p>
          <w:p w14:paraId="16C5F14A" w14:textId="1205A74C" w:rsidR="00871AA1" w:rsidRDefault="00BE2D5E" w:rsidP="00BE2D5E">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w:t>
            </w:r>
            <w:proofErr w:type="spellStart"/>
            <w:r>
              <w:rPr>
                <w:rFonts w:ascii="Times New Roman" w:hAnsi="Times New Roman"/>
                <w:sz w:val="22"/>
                <w:lang w:eastAsia="en-US"/>
              </w:rPr>
              <w:t>Nº</w:t>
            </w:r>
            <w:proofErr w:type="spellEnd"/>
            <w:r>
              <w:rPr>
                <w:rFonts w:ascii="Times New Roman" w:hAnsi="Times New Roman"/>
                <w:sz w:val="22"/>
                <w:lang w:eastAsia="en-US"/>
              </w:rPr>
              <w:t xml:space="preserve">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2023/4</w:t>
            </w:r>
          </w:p>
        </w:tc>
        <w:tc>
          <w:tcPr>
            <w:tcW w:w="20" w:type="dxa"/>
            <w:hideMark/>
          </w:tcPr>
          <w:p w14:paraId="42C66811" w14:textId="77777777" w:rsidR="00871AA1" w:rsidRDefault="00871AA1" w:rsidP="009A271C">
            <w:pPr>
              <w:spacing w:before="120" w:after="120" w:line="276" w:lineRule="auto"/>
              <w:rPr>
                <w:lang w:eastAsia="en-US"/>
              </w:rPr>
            </w:pPr>
            <w:r>
              <w:rPr>
                <w:lang w:val="es-ES_tradnl" w:eastAsia="en-US"/>
              </w:rPr>
              <w:t xml:space="preserve"> </w:t>
            </w:r>
          </w:p>
        </w:tc>
        <w:tc>
          <w:tcPr>
            <w:tcW w:w="4677" w:type="dxa"/>
          </w:tcPr>
          <w:p w14:paraId="50933941" w14:textId="77777777" w:rsidR="00871AA1" w:rsidRDefault="00871AA1" w:rsidP="009A271C">
            <w:pPr>
              <w:pStyle w:val="Piedepgina"/>
              <w:tabs>
                <w:tab w:val="clear" w:pos="4252"/>
                <w:tab w:val="right" w:pos="4677"/>
              </w:tabs>
              <w:spacing w:before="120" w:after="120" w:line="276" w:lineRule="auto"/>
              <w:rPr>
                <w:b/>
                <w:lang w:eastAsia="en-US"/>
              </w:rPr>
            </w:pPr>
          </w:p>
          <w:p w14:paraId="3B084DBA" w14:textId="77777777" w:rsidR="00871AA1" w:rsidRDefault="00871AA1" w:rsidP="009A271C">
            <w:pPr>
              <w:spacing w:line="276" w:lineRule="auto"/>
              <w:jc w:val="center"/>
              <w:rPr>
                <w:b/>
                <w:lang w:eastAsia="en-US"/>
              </w:rPr>
            </w:pPr>
          </w:p>
        </w:tc>
      </w:tr>
    </w:tbl>
    <w:p w14:paraId="71034017" w14:textId="77777777" w:rsidR="00871AA1" w:rsidRDefault="00871AA1" w:rsidP="00871AA1">
      <w:pPr>
        <w:tabs>
          <w:tab w:val="left" w:pos="3261"/>
        </w:tabs>
        <w:spacing w:after="480"/>
        <w:jc w:val="both"/>
        <w:rPr>
          <w:sz w:val="22"/>
        </w:rPr>
      </w:pPr>
    </w:p>
    <w:p w14:paraId="24BEAD51" w14:textId="79696400" w:rsidR="00871AA1" w:rsidRDefault="00871AA1" w:rsidP="00871AA1">
      <w:pPr>
        <w:tabs>
          <w:tab w:val="left" w:pos="3261"/>
        </w:tabs>
        <w:spacing w:after="480"/>
        <w:jc w:val="center"/>
        <w:rPr>
          <w:b/>
          <w:sz w:val="22"/>
          <w:u w:val="single"/>
        </w:rPr>
      </w:pPr>
      <w:r>
        <w:rPr>
          <w:b/>
          <w:sz w:val="22"/>
          <w:u w:val="single"/>
        </w:rPr>
        <w:t xml:space="preserve">RESOLUCION </w:t>
      </w:r>
      <w:r w:rsidR="005B6A30">
        <w:rPr>
          <w:b/>
          <w:sz w:val="22"/>
          <w:u w:val="single"/>
        </w:rPr>
        <w:t>1</w:t>
      </w:r>
      <w:r w:rsidR="00BE2D5E">
        <w:rPr>
          <w:b/>
          <w:sz w:val="22"/>
          <w:u w:val="single"/>
        </w:rPr>
        <w:t>1</w:t>
      </w:r>
      <w:r w:rsidR="005B6A30">
        <w:rPr>
          <w:b/>
          <w:sz w:val="22"/>
          <w:u w:val="single"/>
        </w:rPr>
        <w:t>/</w:t>
      </w:r>
      <w:r>
        <w:rPr>
          <w:b/>
          <w:sz w:val="22"/>
          <w:u w:val="single"/>
        </w:rPr>
        <w:t>2023</w:t>
      </w:r>
    </w:p>
    <w:p w14:paraId="420BB2C0" w14:textId="35E81293" w:rsidR="00871AA1" w:rsidRDefault="00871AA1" w:rsidP="00871AA1">
      <w:pPr>
        <w:tabs>
          <w:tab w:val="left" w:pos="3261"/>
        </w:tabs>
        <w:spacing w:after="480"/>
        <w:jc w:val="both"/>
        <w:rPr>
          <w:sz w:val="22"/>
        </w:rPr>
      </w:pPr>
      <w:r>
        <w:rPr>
          <w:sz w:val="22"/>
        </w:rPr>
        <w:t xml:space="preserve">En Vitoria-Gasteiz, a </w:t>
      </w:r>
      <w:r w:rsidR="00F651A0">
        <w:rPr>
          <w:sz w:val="22"/>
        </w:rPr>
        <w:t>1</w:t>
      </w:r>
      <w:r w:rsidR="006D34CE">
        <w:rPr>
          <w:sz w:val="22"/>
        </w:rPr>
        <w:t>4</w:t>
      </w:r>
      <w:r w:rsidR="005B6A30">
        <w:rPr>
          <w:sz w:val="22"/>
        </w:rPr>
        <w:t xml:space="preserve"> de diciembre de 2023</w:t>
      </w:r>
      <w:r>
        <w:rPr>
          <w:sz w:val="22"/>
        </w:rPr>
        <w:t>.</w:t>
      </w:r>
    </w:p>
    <w:p w14:paraId="55D53DAD" w14:textId="30848428" w:rsidR="00871AA1" w:rsidRPr="00EE785D" w:rsidRDefault="00EA4758" w:rsidP="00871AA1">
      <w:pPr>
        <w:spacing w:before="120" w:after="120"/>
        <w:jc w:val="both"/>
        <w:rPr>
          <w:bCs/>
          <w:sz w:val="22"/>
        </w:rPr>
      </w:pPr>
      <w:r>
        <w:rPr>
          <w:sz w:val="22"/>
        </w:rPr>
        <w:t xml:space="preserve">El Órgano Administrativo Foral de Recursos Contractuales de la Diputación Foral de Álava ha dictado la siguiente RESOLUCIÓN en relación con el </w:t>
      </w:r>
      <w:r w:rsidR="00746007">
        <w:rPr>
          <w:sz w:val="22"/>
        </w:rPr>
        <w:t>r</w:t>
      </w:r>
      <w:r>
        <w:rPr>
          <w:sz w:val="22"/>
        </w:rPr>
        <w:t xml:space="preserve">ecurso </w:t>
      </w:r>
      <w:r w:rsidR="00746007">
        <w:rPr>
          <w:sz w:val="22"/>
        </w:rPr>
        <w:t>e</w:t>
      </w:r>
      <w:r>
        <w:rPr>
          <w:sz w:val="22"/>
        </w:rPr>
        <w:t>special en materia de contratación interpuesto por D. Antonio Jesús Montoya García, en representación de la mercantil PROTECCION GERIATRICA 2005, S.L.</w:t>
      </w:r>
      <w:r w:rsidRPr="00691C5A">
        <w:rPr>
          <w:bCs/>
          <w:sz w:val="22"/>
          <w:lang w:eastAsia="en-US"/>
        </w:rPr>
        <w:t xml:space="preserve"> </w:t>
      </w:r>
      <w:r w:rsidRPr="00691C5A">
        <w:rPr>
          <w:bCs/>
          <w:sz w:val="22"/>
        </w:rPr>
        <w:t xml:space="preserve">contra </w:t>
      </w:r>
      <w:r>
        <w:rPr>
          <w:bCs/>
          <w:sz w:val="22"/>
        </w:rPr>
        <w:t xml:space="preserve">el Acuerdo del Consejo de Administración del Instituto Foral de Bienestar Social, </w:t>
      </w:r>
      <w:r w:rsidR="00D22BE4">
        <w:rPr>
          <w:bCs/>
          <w:sz w:val="22"/>
        </w:rPr>
        <w:t xml:space="preserve">de 7 de septiembre de 2023, </w:t>
      </w:r>
      <w:r>
        <w:rPr>
          <w:bCs/>
          <w:sz w:val="22"/>
        </w:rPr>
        <w:t>por el que se adjudica el lote 3</w:t>
      </w:r>
      <w:r w:rsidR="00D22BE4">
        <w:rPr>
          <w:bCs/>
          <w:sz w:val="22"/>
        </w:rPr>
        <w:t>:</w:t>
      </w:r>
      <w:r>
        <w:rPr>
          <w:bCs/>
          <w:sz w:val="22"/>
        </w:rPr>
        <w:t xml:space="preserve"> Cuadrilla de Añana y </w:t>
      </w:r>
      <w:proofErr w:type="spellStart"/>
      <w:r>
        <w:rPr>
          <w:bCs/>
          <w:sz w:val="22"/>
        </w:rPr>
        <w:t>Gorbeialdea</w:t>
      </w:r>
      <w:proofErr w:type="spellEnd"/>
      <w:r w:rsidR="00D22BE4">
        <w:rPr>
          <w:bCs/>
          <w:sz w:val="22"/>
        </w:rPr>
        <w:t>,</w:t>
      </w:r>
      <w:r>
        <w:rPr>
          <w:bCs/>
          <w:sz w:val="22"/>
        </w:rPr>
        <w:t xml:space="preserve"> del servicio de ayuda a domicilio en el Territorio Histórico de </w:t>
      </w:r>
      <w:bookmarkStart w:id="0" w:name="_Hlk130889800"/>
      <w:r w:rsidR="00214D9F">
        <w:rPr>
          <w:bCs/>
          <w:sz w:val="22"/>
        </w:rPr>
        <w:t>Álava</w:t>
      </w:r>
      <w:r w:rsidRPr="00D43671">
        <w:rPr>
          <w:bCs/>
          <w:sz w:val="22"/>
          <w:lang w:eastAsia="en-US"/>
        </w:rPr>
        <w:t xml:space="preserve"> </w:t>
      </w:r>
      <w:bookmarkEnd w:id="0"/>
      <w:r w:rsidRPr="00D43671">
        <w:rPr>
          <w:bCs/>
          <w:sz w:val="22"/>
        </w:rPr>
        <w:t>(</w:t>
      </w:r>
      <w:proofErr w:type="spellStart"/>
      <w:r w:rsidRPr="00D43671">
        <w:rPr>
          <w:bCs/>
          <w:sz w:val="22"/>
        </w:rPr>
        <w:t>expte</w:t>
      </w:r>
      <w:proofErr w:type="spellEnd"/>
      <w:r w:rsidRPr="00D43671">
        <w:rPr>
          <w:bCs/>
          <w:sz w:val="22"/>
        </w:rPr>
        <w:t xml:space="preserve">. </w:t>
      </w:r>
      <w:r>
        <w:rPr>
          <w:bCs/>
          <w:sz w:val="22"/>
        </w:rPr>
        <w:t>75/23</w:t>
      </w:r>
      <w:r w:rsidR="00A72479">
        <w:rPr>
          <w:bCs/>
          <w:sz w:val="22"/>
        </w:rPr>
        <w:t>)</w:t>
      </w:r>
      <w:r w:rsidR="00871AA1" w:rsidRPr="00D43671">
        <w:rPr>
          <w:bCs/>
          <w:sz w:val="22"/>
        </w:rPr>
        <w:t>.</w:t>
      </w:r>
    </w:p>
    <w:p w14:paraId="4F0259AD" w14:textId="347E3EF9" w:rsidR="00116E31" w:rsidRDefault="00EA4758" w:rsidP="00D44891">
      <w:pPr>
        <w:spacing w:before="120" w:after="120"/>
        <w:jc w:val="both"/>
        <w:rPr>
          <w:sz w:val="22"/>
        </w:rPr>
      </w:pPr>
      <w:r>
        <w:rPr>
          <w:sz w:val="22"/>
        </w:rPr>
        <w:t>Son partes en dicho recurso: como RECURRENTE, PROTECCION GERIATRICA 2005, S.L.,</w:t>
      </w:r>
      <w:r w:rsidRPr="003254F5">
        <w:rPr>
          <w:sz w:val="22"/>
        </w:rPr>
        <w:t xml:space="preserve"> </w:t>
      </w:r>
      <w:r>
        <w:rPr>
          <w:sz w:val="22"/>
        </w:rPr>
        <w:t>y, como DEMANDADA el INSTITUTO FORAL DE BIENESTAR SOCIAL DE ALAVA</w:t>
      </w:r>
      <w:r w:rsidR="007E0A26">
        <w:rPr>
          <w:sz w:val="22"/>
        </w:rPr>
        <w:t>. Han</w:t>
      </w:r>
      <w:r w:rsidR="001C2C70">
        <w:rPr>
          <w:sz w:val="22"/>
        </w:rPr>
        <w:t xml:space="preserve"> </w:t>
      </w:r>
      <w:proofErr w:type="gramStart"/>
      <w:r w:rsidR="001C2C70">
        <w:rPr>
          <w:sz w:val="22"/>
        </w:rPr>
        <w:t>comparecido</w:t>
      </w:r>
      <w:proofErr w:type="gramEnd"/>
      <w:r w:rsidR="001C2C70">
        <w:rPr>
          <w:sz w:val="22"/>
        </w:rPr>
        <w:t xml:space="preserve"> asimismo, formulando alegaciones, la empresa adjudicataria, SACYR SOCI</w:t>
      </w:r>
      <w:r w:rsidR="007E0A26">
        <w:rPr>
          <w:sz w:val="22"/>
        </w:rPr>
        <w:t>AL</w:t>
      </w:r>
      <w:r w:rsidR="001C2C70">
        <w:rPr>
          <w:sz w:val="22"/>
        </w:rPr>
        <w:t xml:space="preserve">, S.L. y </w:t>
      </w:r>
      <w:r w:rsidR="00116E31">
        <w:rPr>
          <w:sz w:val="22"/>
        </w:rPr>
        <w:t>la empresa ZAINTZEN, S.A.</w:t>
      </w:r>
    </w:p>
    <w:p w14:paraId="53E4D375" w14:textId="08055108" w:rsidR="00871AA1" w:rsidRDefault="00871AA1" w:rsidP="00D44891">
      <w:pPr>
        <w:spacing w:before="120" w:after="120"/>
        <w:jc w:val="both"/>
        <w:rPr>
          <w:sz w:val="22"/>
        </w:rPr>
      </w:pPr>
      <w:r>
        <w:rPr>
          <w:sz w:val="22"/>
        </w:rPr>
        <w:t>Visto el recurso especial interpuesto, este Órgano efectúa las siguientes consideraciones:</w:t>
      </w:r>
    </w:p>
    <w:p w14:paraId="36873F75" w14:textId="77777777" w:rsidR="00871AA1" w:rsidRDefault="00871AA1" w:rsidP="00871AA1">
      <w:pPr>
        <w:spacing w:after="120"/>
        <w:jc w:val="center"/>
        <w:rPr>
          <w:b/>
          <w:sz w:val="22"/>
        </w:rPr>
      </w:pPr>
    </w:p>
    <w:p w14:paraId="7D9A2FD6" w14:textId="77777777" w:rsidR="00871AA1" w:rsidRDefault="00871AA1" w:rsidP="00871AA1">
      <w:pPr>
        <w:spacing w:after="120"/>
        <w:jc w:val="center"/>
        <w:rPr>
          <w:b/>
          <w:sz w:val="22"/>
        </w:rPr>
      </w:pPr>
      <w:r>
        <w:rPr>
          <w:b/>
          <w:sz w:val="22"/>
        </w:rPr>
        <w:t>ANTECEDENTES DE HECHO</w:t>
      </w:r>
    </w:p>
    <w:p w14:paraId="1F2A17C2" w14:textId="77777777" w:rsidR="00871AA1" w:rsidRDefault="00871AA1" w:rsidP="00871AA1">
      <w:pPr>
        <w:pStyle w:val="Estilo1"/>
        <w:tabs>
          <w:tab w:val="left" w:pos="567"/>
        </w:tabs>
        <w:ind w:firstLine="0"/>
        <w:rPr>
          <w:b/>
          <w:sz w:val="22"/>
          <w:szCs w:val="22"/>
          <w:lang w:val="es-ES"/>
        </w:rPr>
      </w:pPr>
    </w:p>
    <w:p w14:paraId="4CAD84DA" w14:textId="0DFBC10A" w:rsidR="00214D9F" w:rsidRDefault="00214D9F" w:rsidP="00214D9F">
      <w:pPr>
        <w:spacing w:before="120" w:after="120"/>
        <w:jc w:val="both"/>
        <w:rPr>
          <w:sz w:val="22"/>
        </w:rPr>
      </w:pPr>
      <w:r>
        <w:rPr>
          <w:b/>
          <w:sz w:val="22"/>
          <w:szCs w:val="22"/>
        </w:rPr>
        <w:t>1º.</w:t>
      </w:r>
      <w:r>
        <w:rPr>
          <w:sz w:val="22"/>
          <w:szCs w:val="22"/>
        </w:rPr>
        <w:t xml:space="preserve"> Por Acuerdo del Consejo de Administración del Instituto Foral de Bienestar Social de </w:t>
      </w:r>
      <w:r w:rsidR="001C2C70">
        <w:rPr>
          <w:sz w:val="22"/>
          <w:szCs w:val="22"/>
        </w:rPr>
        <w:t>Álava</w:t>
      </w:r>
      <w:r>
        <w:rPr>
          <w:sz w:val="22"/>
          <w:szCs w:val="22"/>
        </w:rPr>
        <w:t>, de 8 de junio de 2023, se inició el procedimiento de licitación de la contratación del servicio de ayuda a domicilio en el Territorio Histórico de Álava, con un presupuesto máximo de 29.860.630,19 €</w:t>
      </w:r>
      <w:r>
        <w:rPr>
          <w:bCs/>
          <w:sz w:val="22"/>
          <w:lang w:eastAsia="en-US"/>
        </w:rPr>
        <w:t xml:space="preserve"> IVA incluido, y duración de tres años y tres meses, prorrogables por un año.</w:t>
      </w:r>
    </w:p>
    <w:p w14:paraId="37CE6B8C" w14:textId="1EEF3D5F" w:rsidR="00214D9F" w:rsidRDefault="00214D9F" w:rsidP="00214D9F">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Acuerdo del </w:t>
      </w:r>
      <w:r>
        <w:rPr>
          <w:sz w:val="22"/>
          <w:szCs w:val="22"/>
        </w:rPr>
        <w:t>Consejo de Administración del Instituto Foral de Bienestar</w:t>
      </w:r>
      <w:r>
        <w:rPr>
          <w:sz w:val="22"/>
          <w:szCs w:val="22"/>
          <w:lang w:val="es-ES"/>
        </w:rPr>
        <w:t xml:space="preserve"> Social de </w:t>
      </w:r>
      <w:r w:rsidR="001C2C70">
        <w:rPr>
          <w:sz w:val="22"/>
          <w:szCs w:val="22"/>
          <w:lang w:val="es-ES"/>
        </w:rPr>
        <w:t>Álava</w:t>
      </w:r>
      <w:r>
        <w:rPr>
          <w:sz w:val="22"/>
          <w:szCs w:val="22"/>
          <w:lang w:val="es-ES"/>
        </w:rPr>
        <w:t xml:space="preserve">, de fecha 7 de septiembre de 2023, se adjudica el lote 3 </w:t>
      </w:r>
      <w:r w:rsidR="00746007">
        <w:rPr>
          <w:sz w:val="22"/>
          <w:szCs w:val="22"/>
          <w:lang w:val="es-ES"/>
        </w:rPr>
        <w:t xml:space="preserve">(Cuadrilla de Añana y </w:t>
      </w:r>
      <w:proofErr w:type="spellStart"/>
      <w:r w:rsidR="00746007">
        <w:rPr>
          <w:sz w:val="22"/>
          <w:szCs w:val="22"/>
          <w:lang w:val="es-ES"/>
        </w:rPr>
        <w:t>Gorbeialdea</w:t>
      </w:r>
      <w:proofErr w:type="spellEnd"/>
      <w:r w:rsidR="00746007">
        <w:rPr>
          <w:sz w:val="22"/>
          <w:szCs w:val="22"/>
          <w:lang w:val="es-ES"/>
        </w:rPr>
        <w:t xml:space="preserve">) </w:t>
      </w:r>
      <w:r>
        <w:rPr>
          <w:sz w:val="22"/>
          <w:szCs w:val="22"/>
          <w:lang w:val="es-ES"/>
        </w:rPr>
        <w:t>del referido contrato a la mercantil SACYR SOCIAL, S.L.</w:t>
      </w:r>
    </w:p>
    <w:bookmarkEnd w:id="1"/>
    <w:p w14:paraId="0500B739" w14:textId="52AF51EB" w:rsidR="00214D9F" w:rsidRDefault="00214D9F" w:rsidP="00214D9F">
      <w:pPr>
        <w:spacing w:after="120"/>
        <w:jc w:val="both"/>
        <w:rPr>
          <w:b/>
          <w:sz w:val="22"/>
        </w:rPr>
      </w:pPr>
      <w:r>
        <w:rPr>
          <w:b/>
          <w:sz w:val="22"/>
          <w:szCs w:val="22"/>
        </w:rPr>
        <w:t xml:space="preserve">3º. </w:t>
      </w:r>
      <w:r>
        <w:rPr>
          <w:sz w:val="22"/>
          <w:szCs w:val="22"/>
        </w:rPr>
        <w:t xml:space="preserve">El pasado 28 de septiembre ha tenido entrada en el Registro Electrónico Común de la Diputación Foral de </w:t>
      </w:r>
      <w:r w:rsidR="001C2C70">
        <w:rPr>
          <w:sz w:val="22"/>
          <w:szCs w:val="22"/>
        </w:rPr>
        <w:t>Álava</w:t>
      </w:r>
      <w:r>
        <w:rPr>
          <w:sz w:val="22"/>
          <w:szCs w:val="22"/>
        </w:rPr>
        <w:t xml:space="preserve"> escrito de interposición de recurso especial en materia de contratación interpuesto por la mercantil </w:t>
      </w:r>
      <w:r>
        <w:rPr>
          <w:sz w:val="22"/>
        </w:rPr>
        <w:t>PROTECCION GERIATRICA 2005, S.L.,</w:t>
      </w:r>
      <w:r w:rsidRPr="003254F5">
        <w:rPr>
          <w:sz w:val="22"/>
        </w:rPr>
        <w:t xml:space="preserve"> </w:t>
      </w:r>
      <w:r>
        <w:rPr>
          <w:sz w:val="22"/>
          <w:szCs w:val="22"/>
        </w:rPr>
        <w:t>en impugnación del acto de adjudicación.</w:t>
      </w:r>
    </w:p>
    <w:p w14:paraId="42921587" w14:textId="090A66A4" w:rsidR="00871AA1" w:rsidRPr="00A56C4A" w:rsidRDefault="00871AA1" w:rsidP="00871AA1">
      <w:pPr>
        <w:spacing w:before="120" w:after="120"/>
        <w:jc w:val="both"/>
        <w:rPr>
          <w:sz w:val="22"/>
          <w:szCs w:val="22"/>
        </w:rPr>
      </w:pPr>
      <w:r w:rsidRPr="00A56C4A">
        <w:rPr>
          <w:sz w:val="22"/>
          <w:szCs w:val="22"/>
        </w:rPr>
        <w:t>En dicho recurso la recurrente solicita</w:t>
      </w:r>
      <w:r>
        <w:rPr>
          <w:sz w:val="22"/>
          <w:szCs w:val="22"/>
        </w:rPr>
        <w:t xml:space="preserve"> que se anule la resolución de adjudicación del contrato a favor de </w:t>
      </w:r>
      <w:r w:rsidR="00214D9F">
        <w:rPr>
          <w:sz w:val="22"/>
          <w:szCs w:val="22"/>
        </w:rPr>
        <w:t xml:space="preserve">SACYR SOCIAL, S.L., se excluya de la licitación la oferta presentada por la empresa </w:t>
      </w:r>
      <w:r w:rsidR="00214D9F">
        <w:rPr>
          <w:sz w:val="22"/>
          <w:szCs w:val="22"/>
        </w:rPr>
        <w:lastRenderedPageBreak/>
        <w:t>adjudicataria</w:t>
      </w:r>
      <w:r w:rsidR="00737318">
        <w:rPr>
          <w:sz w:val="22"/>
          <w:szCs w:val="22"/>
        </w:rPr>
        <w:t xml:space="preserve"> y, en definitiva, se declare el derecho de la recurrente a que le sea adjudicado el contrato, todo ello con retroacción de actuaciones al procedimiento de licitación</w:t>
      </w:r>
      <w:r>
        <w:rPr>
          <w:sz w:val="22"/>
          <w:szCs w:val="22"/>
        </w:rPr>
        <w:t>.</w:t>
      </w:r>
    </w:p>
    <w:p w14:paraId="28D16B9A" w14:textId="516661EB" w:rsidR="00871AA1" w:rsidRPr="00A56C4A" w:rsidRDefault="00871AA1" w:rsidP="00F349A2">
      <w:pPr>
        <w:spacing w:before="120" w:after="120"/>
        <w:jc w:val="both"/>
        <w:rPr>
          <w:sz w:val="22"/>
          <w:szCs w:val="22"/>
        </w:rPr>
      </w:pPr>
      <w:r>
        <w:rPr>
          <w:b/>
          <w:sz w:val="22"/>
          <w:szCs w:val="22"/>
        </w:rPr>
        <w:t xml:space="preserve">4º. </w:t>
      </w:r>
      <w:r>
        <w:rPr>
          <w:sz w:val="22"/>
          <w:szCs w:val="22"/>
        </w:rPr>
        <w:t>S</w:t>
      </w:r>
      <w:r w:rsidRPr="00A56C4A">
        <w:rPr>
          <w:sz w:val="22"/>
          <w:szCs w:val="22"/>
        </w:rPr>
        <w:t>e dio traslado</w:t>
      </w:r>
      <w:r>
        <w:rPr>
          <w:sz w:val="22"/>
          <w:szCs w:val="22"/>
        </w:rPr>
        <w:t xml:space="preserve"> del recurso</w:t>
      </w:r>
      <w:r w:rsidRPr="00A56C4A">
        <w:rPr>
          <w:sz w:val="22"/>
          <w:szCs w:val="22"/>
        </w:rPr>
        <w:t xml:space="preserve"> al </w:t>
      </w:r>
      <w:r w:rsidR="007E0A26">
        <w:rPr>
          <w:sz w:val="22"/>
          <w:szCs w:val="22"/>
        </w:rPr>
        <w:t>órgano de contratación</w:t>
      </w:r>
      <w:r>
        <w:rPr>
          <w:sz w:val="22"/>
          <w:szCs w:val="22"/>
        </w:rPr>
        <w:t xml:space="preserve">, </w:t>
      </w:r>
      <w:r w:rsidR="00737318">
        <w:rPr>
          <w:sz w:val="22"/>
          <w:szCs w:val="22"/>
        </w:rPr>
        <w:t>con</w:t>
      </w:r>
      <w:r w:rsidRPr="00A56C4A">
        <w:rPr>
          <w:sz w:val="22"/>
          <w:szCs w:val="22"/>
        </w:rPr>
        <w:t xml:space="preserve"> solicitud del expediente y del informe correspondiente, en cumplimiento de lo previsto en el art. 56.2 LCSP</w:t>
      </w:r>
      <w:r>
        <w:rPr>
          <w:sz w:val="22"/>
          <w:szCs w:val="22"/>
        </w:rPr>
        <w:t xml:space="preserve">, </w:t>
      </w:r>
      <w:r w:rsidR="00737318">
        <w:rPr>
          <w:sz w:val="22"/>
          <w:szCs w:val="22"/>
        </w:rPr>
        <w:t>informe que</w:t>
      </w:r>
      <w:r>
        <w:rPr>
          <w:sz w:val="22"/>
          <w:szCs w:val="22"/>
        </w:rPr>
        <w:t xml:space="preserve"> se recibió el </w:t>
      </w:r>
      <w:r w:rsidR="00737318">
        <w:rPr>
          <w:sz w:val="22"/>
          <w:szCs w:val="22"/>
        </w:rPr>
        <w:t>día 3</w:t>
      </w:r>
      <w:r>
        <w:rPr>
          <w:sz w:val="22"/>
          <w:szCs w:val="22"/>
        </w:rPr>
        <w:t xml:space="preserve"> de octubre</w:t>
      </w:r>
      <w:r w:rsidRPr="00036D41">
        <w:rPr>
          <w:sz w:val="22"/>
          <w:szCs w:val="22"/>
        </w:rPr>
        <w:t xml:space="preserve"> </w:t>
      </w:r>
      <w:r w:rsidRPr="00A56C4A">
        <w:rPr>
          <w:sz w:val="22"/>
          <w:szCs w:val="22"/>
        </w:rPr>
        <w:t>en el Órgano Administrativo Foral de Recursos Contractuales</w:t>
      </w:r>
      <w:r>
        <w:rPr>
          <w:sz w:val="22"/>
          <w:szCs w:val="22"/>
        </w:rPr>
        <w:t>,</w:t>
      </w:r>
      <w:r w:rsidRPr="00036D41">
        <w:rPr>
          <w:sz w:val="22"/>
          <w:szCs w:val="22"/>
        </w:rPr>
        <w:t xml:space="preserve"> </w:t>
      </w:r>
      <w:r>
        <w:rPr>
          <w:sz w:val="22"/>
          <w:szCs w:val="22"/>
        </w:rPr>
        <w:t>proponiendo</w:t>
      </w:r>
      <w:r w:rsidRPr="00A56C4A">
        <w:rPr>
          <w:sz w:val="22"/>
          <w:szCs w:val="22"/>
        </w:rPr>
        <w:t xml:space="preserve"> la desestimación del recurso</w:t>
      </w:r>
      <w:r>
        <w:rPr>
          <w:sz w:val="22"/>
          <w:szCs w:val="22"/>
        </w:rPr>
        <w:t>.</w:t>
      </w:r>
    </w:p>
    <w:p w14:paraId="06437EE6" w14:textId="5FC74D16" w:rsidR="00F723D0" w:rsidRDefault="00871AA1" w:rsidP="00F349A2">
      <w:pPr>
        <w:spacing w:before="120" w:after="120"/>
        <w:jc w:val="both"/>
        <w:rPr>
          <w:sz w:val="22"/>
          <w:szCs w:val="22"/>
        </w:rPr>
      </w:pPr>
      <w:r w:rsidRPr="007E0A26">
        <w:rPr>
          <w:b/>
          <w:bCs/>
          <w:sz w:val="22"/>
          <w:szCs w:val="22"/>
        </w:rPr>
        <w:t>5</w:t>
      </w:r>
      <w:r w:rsidRPr="00746007">
        <w:rPr>
          <w:b/>
          <w:bCs/>
          <w:sz w:val="22"/>
          <w:szCs w:val="22"/>
        </w:rPr>
        <w:t>º</w:t>
      </w:r>
      <w:r w:rsidR="007E0A26" w:rsidRPr="00746007">
        <w:rPr>
          <w:b/>
          <w:bCs/>
          <w:sz w:val="22"/>
          <w:szCs w:val="22"/>
        </w:rPr>
        <w:t>.</w:t>
      </w:r>
      <w:r w:rsidRPr="00851BD2">
        <w:rPr>
          <w:sz w:val="22"/>
          <w:szCs w:val="22"/>
        </w:rPr>
        <w:t xml:space="preserve"> </w:t>
      </w:r>
      <w:r>
        <w:rPr>
          <w:sz w:val="22"/>
          <w:szCs w:val="22"/>
        </w:rPr>
        <w:t xml:space="preserve">Asimismo, el </w:t>
      </w:r>
      <w:r w:rsidR="003D3F7B">
        <w:rPr>
          <w:sz w:val="22"/>
          <w:szCs w:val="22"/>
        </w:rPr>
        <w:t>29</w:t>
      </w:r>
      <w:r>
        <w:rPr>
          <w:sz w:val="22"/>
          <w:szCs w:val="22"/>
        </w:rPr>
        <w:t xml:space="preserve"> de </w:t>
      </w:r>
      <w:r w:rsidR="003D3F7B">
        <w:rPr>
          <w:sz w:val="22"/>
          <w:szCs w:val="22"/>
        </w:rPr>
        <w:t>septiembre</w:t>
      </w:r>
      <w:r>
        <w:rPr>
          <w:sz w:val="22"/>
          <w:szCs w:val="22"/>
        </w:rPr>
        <w:t xml:space="preserve"> de 2023 </w:t>
      </w:r>
      <w:r w:rsidRPr="00A56C4A">
        <w:rPr>
          <w:sz w:val="22"/>
          <w:szCs w:val="22"/>
        </w:rPr>
        <w:t xml:space="preserve">se dio traslado del Recurso </w:t>
      </w:r>
      <w:r w:rsidR="00F723D0">
        <w:rPr>
          <w:sz w:val="22"/>
          <w:szCs w:val="22"/>
        </w:rPr>
        <w:t>al</w:t>
      </w:r>
      <w:r w:rsidRPr="00A56C4A">
        <w:rPr>
          <w:sz w:val="22"/>
          <w:szCs w:val="22"/>
        </w:rPr>
        <w:t xml:space="preserve"> resto de interesados, en cumplimiento de lo previsto en el art. 56.3 LCSP, otorgándoles un plazo de cinco días hábiles para formular alegaciones</w:t>
      </w:r>
      <w:r w:rsidR="00F723D0">
        <w:rPr>
          <w:sz w:val="22"/>
          <w:szCs w:val="22"/>
        </w:rPr>
        <w:t>, dentro del cual, e</w:t>
      </w:r>
      <w:r>
        <w:rPr>
          <w:sz w:val="22"/>
          <w:szCs w:val="22"/>
        </w:rPr>
        <w:t xml:space="preserve">l </w:t>
      </w:r>
      <w:r w:rsidR="003D3F7B">
        <w:rPr>
          <w:sz w:val="22"/>
          <w:szCs w:val="22"/>
        </w:rPr>
        <w:t>día 6</w:t>
      </w:r>
      <w:r>
        <w:rPr>
          <w:sz w:val="22"/>
          <w:szCs w:val="22"/>
        </w:rPr>
        <w:t xml:space="preserve"> de octubre de 2023</w:t>
      </w:r>
      <w:r w:rsidR="00F723D0">
        <w:rPr>
          <w:sz w:val="22"/>
          <w:szCs w:val="22"/>
        </w:rPr>
        <w:t>,</w:t>
      </w:r>
      <w:r>
        <w:rPr>
          <w:sz w:val="22"/>
          <w:szCs w:val="22"/>
        </w:rPr>
        <w:t xml:space="preserve"> </w:t>
      </w:r>
      <w:r w:rsidR="00F723D0">
        <w:rPr>
          <w:sz w:val="22"/>
          <w:szCs w:val="22"/>
        </w:rPr>
        <w:t>h</w:t>
      </w:r>
      <w:r w:rsidR="003D3F7B">
        <w:rPr>
          <w:sz w:val="22"/>
          <w:szCs w:val="22"/>
        </w:rPr>
        <w:t>a</w:t>
      </w:r>
      <w:r w:rsidR="00F723D0">
        <w:rPr>
          <w:sz w:val="22"/>
          <w:szCs w:val="22"/>
        </w:rPr>
        <w:t>n</w:t>
      </w:r>
      <w:r w:rsidR="003D3F7B">
        <w:rPr>
          <w:sz w:val="22"/>
          <w:szCs w:val="22"/>
        </w:rPr>
        <w:t xml:space="preserve"> presentado escrito de alegaciones la empresa adjudicataria, SACYR SOCIAL, S.L., </w:t>
      </w:r>
      <w:r w:rsidR="00F723D0">
        <w:rPr>
          <w:sz w:val="22"/>
          <w:szCs w:val="22"/>
        </w:rPr>
        <w:t>y la licitadora ZAINTZEN, S.A.</w:t>
      </w:r>
    </w:p>
    <w:p w14:paraId="0519C119" w14:textId="24A1B31F" w:rsidR="00871AA1" w:rsidRDefault="00F723D0" w:rsidP="00F349A2">
      <w:pPr>
        <w:spacing w:before="120" w:after="120"/>
        <w:jc w:val="both"/>
        <w:rPr>
          <w:sz w:val="22"/>
          <w:szCs w:val="22"/>
        </w:rPr>
      </w:pPr>
      <w:r>
        <w:rPr>
          <w:sz w:val="22"/>
          <w:szCs w:val="22"/>
        </w:rPr>
        <w:t xml:space="preserve">Mientras que, mediante su escrito de alegaciones, SACYR SOCIAL, S.L solicita </w:t>
      </w:r>
      <w:r w:rsidR="003D3F7B">
        <w:rPr>
          <w:sz w:val="22"/>
          <w:szCs w:val="22"/>
        </w:rPr>
        <w:t>la íntegra desestimación del recurso</w:t>
      </w:r>
      <w:r w:rsidR="007E0A26">
        <w:rPr>
          <w:sz w:val="22"/>
          <w:szCs w:val="22"/>
        </w:rPr>
        <w:t>,</w:t>
      </w:r>
      <w:r>
        <w:rPr>
          <w:sz w:val="22"/>
          <w:szCs w:val="22"/>
        </w:rPr>
        <w:t xml:space="preserve"> </w:t>
      </w:r>
      <w:r w:rsidRPr="00F651A0">
        <w:rPr>
          <w:sz w:val="22"/>
          <w:szCs w:val="22"/>
        </w:rPr>
        <w:t>ZAINTZEN, S.</w:t>
      </w:r>
      <w:r w:rsidR="001C2C70" w:rsidRPr="00F651A0">
        <w:rPr>
          <w:sz w:val="22"/>
          <w:szCs w:val="22"/>
        </w:rPr>
        <w:t>A</w:t>
      </w:r>
      <w:r w:rsidRPr="00F651A0">
        <w:rPr>
          <w:sz w:val="22"/>
          <w:szCs w:val="22"/>
        </w:rPr>
        <w:t>. solicita</w:t>
      </w:r>
      <w:r w:rsidR="00DA51A0" w:rsidRPr="00F651A0">
        <w:rPr>
          <w:sz w:val="22"/>
          <w:szCs w:val="22"/>
        </w:rPr>
        <w:t>, por un lado</w:t>
      </w:r>
      <w:r w:rsidR="00F31CA0" w:rsidRPr="00F651A0">
        <w:rPr>
          <w:sz w:val="22"/>
          <w:szCs w:val="22"/>
        </w:rPr>
        <w:t>,</w:t>
      </w:r>
      <w:r w:rsidRPr="00F651A0">
        <w:rPr>
          <w:sz w:val="22"/>
          <w:szCs w:val="22"/>
        </w:rPr>
        <w:t xml:space="preserve"> la estimación parcial</w:t>
      </w:r>
      <w:r w:rsidR="00DA51A0" w:rsidRPr="00F651A0">
        <w:rPr>
          <w:sz w:val="22"/>
          <w:szCs w:val="22"/>
        </w:rPr>
        <w:t xml:space="preserve"> del recurso</w:t>
      </w:r>
      <w:r w:rsidRPr="00F651A0">
        <w:rPr>
          <w:sz w:val="22"/>
          <w:szCs w:val="22"/>
        </w:rPr>
        <w:t xml:space="preserve">, en lo que respecta a la exclusión de la licitación de la empresa adjudicataria, </w:t>
      </w:r>
      <w:r w:rsidR="00DA51A0" w:rsidRPr="00F651A0">
        <w:rPr>
          <w:sz w:val="22"/>
          <w:szCs w:val="22"/>
        </w:rPr>
        <w:t xml:space="preserve">y, por otro lado, la desestimación del mismo </w:t>
      </w:r>
      <w:r w:rsidR="00F31CA0" w:rsidRPr="00F651A0">
        <w:rPr>
          <w:sz w:val="22"/>
          <w:szCs w:val="22"/>
        </w:rPr>
        <w:t xml:space="preserve">recurso </w:t>
      </w:r>
      <w:r w:rsidR="00DA51A0" w:rsidRPr="00F651A0">
        <w:rPr>
          <w:sz w:val="22"/>
          <w:szCs w:val="22"/>
        </w:rPr>
        <w:t>en</w:t>
      </w:r>
      <w:r w:rsidRPr="00F651A0">
        <w:rPr>
          <w:sz w:val="22"/>
          <w:szCs w:val="22"/>
        </w:rPr>
        <w:t xml:space="preserve"> </w:t>
      </w:r>
      <w:r w:rsidR="00D12E5C" w:rsidRPr="00F651A0">
        <w:rPr>
          <w:sz w:val="22"/>
          <w:szCs w:val="22"/>
        </w:rPr>
        <w:t>todo</w:t>
      </w:r>
      <w:r w:rsidR="00F651A0" w:rsidRPr="00F651A0">
        <w:rPr>
          <w:sz w:val="22"/>
          <w:szCs w:val="22"/>
        </w:rPr>
        <w:t xml:space="preserve"> lo</w:t>
      </w:r>
      <w:r w:rsidRPr="00F651A0">
        <w:rPr>
          <w:sz w:val="22"/>
          <w:szCs w:val="22"/>
        </w:rPr>
        <w:t xml:space="preserve"> demás</w:t>
      </w:r>
      <w:r w:rsidR="00871AA1">
        <w:rPr>
          <w:sz w:val="22"/>
          <w:szCs w:val="22"/>
        </w:rPr>
        <w:t>.</w:t>
      </w:r>
    </w:p>
    <w:p w14:paraId="4811A0DE" w14:textId="0C7AA1CB" w:rsidR="00871AA1" w:rsidRPr="00A56C4A" w:rsidRDefault="00871AA1" w:rsidP="00F651A0">
      <w:pPr>
        <w:spacing w:before="120" w:after="120"/>
        <w:jc w:val="both"/>
        <w:rPr>
          <w:sz w:val="22"/>
          <w:szCs w:val="22"/>
        </w:rPr>
      </w:pPr>
      <w:r w:rsidRPr="00F651A0">
        <w:rPr>
          <w:sz w:val="22"/>
          <w:szCs w:val="22"/>
        </w:rPr>
        <w:t>6º.</w:t>
      </w:r>
      <w:r w:rsidRPr="00A56C4A">
        <w:rPr>
          <w:sz w:val="22"/>
          <w:szCs w:val="22"/>
        </w:rPr>
        <w:t xml:space="preserve"> Con fecha </w:t>
      </w:r>
      <w:r w:rsidR="00AF785A">
        <w:rPr>
          <w:sz w:val="22"/>
          <w:szCs w:val="22"/>
        </w:rPr>
        <w:t>18</w:t>
      </w:r>
      <w:r>
        <w:rPr>
          <w:sz w:val="22"/>
          <w:szCs w:val="22"/>
        </w:rPr>
        <w:t xml:space="preserve"> de octubre de 2023 </w:t>
      </w:r>
      <w:r w:rsidRPr="00A56C4A">
        <w:rPr>
          <w:sz w:val="22"/>
          <w:szCs w:val="22"/>
        </w:rPr>
        <w:t xml:space="preserve">este Órgano Administrativo dictó la Resolución </w:t>
      </w:r>
      <w:r w:rsidR="00AF785A">
        <w:rPr>
          <w:sz w:val="22"/>
          <w:szCs w:val="22"/>
        </w:rPr>
        <w:t>8</w:t>
      </w:r>
      <w:r>
        <w:rPr>
          <w:sz w:val="22"/>
          <w:szCs w:val="22"/>
        </w:rPr>
        <w:t>/2023</w:t>
      </w:r>
      <w:r w:rsidRPr="00A56C4A">
        <w:rPr>
          <w:sz w:val="22"/>
          <w:szCs w:val="22"/>
        </w:rPr>
        <w:t xml:space="preserve"> acordando la suspensión del procedimiento de contratación hasta tanto se resuelva sobre el fondo del recurso especial, momento en el cual se levantará la suspensión acordada</w:t>
      </w:r>
      <w:r w:rsidR="001255C9">
        <w:rPr>
          <w:sz w:val="22"/>
          <w:szCs w:val="22"/>
        </w:rPr>
        <w:t>, resolución que fue notificada seguidamente a las partes</w:t>
      </w:r>
      <w:r>
        <w:rPr>
          <w:sz w:val="22"/>
          <w:szCs w:val="22"/>
        </w:rPr>
        <w:t>.</w:t>
      </w:r>
    </w:p>
    <w:p w14:paraId="675534BF" w14:textId="77777777" w:rsidR="00871AA1" w:rsidRPr="00587579" w:rsidRDefault="00871AA1" w:rsidP="00871AA1">
      <w:pPr>
        <w:spacing w:after="120"/>
        <w:jc w:val="both"/>
        <w:rPr>
          <w:sz w:val="22"/>
          <w:szCs w:val="22"/>
          <w:lang w:val="es-ES_tradnl"/>
        </w:rPr>
      </w:pPr>
    </w:p>
    <w:p w14:paraId="4AD563E5" w14:textId="77777777" w:rsidR="00871AA1" w:rsidRDefault="00871AA1" w:rsidP="00871AA1">
      <w:pPr>
        <w:spacing w:after="480"/>
        <w:jc w:val="center"/>
        <w:rPr>
          <w:b/>
          <w:sz w:val="22"/>
        </w:rPr>
      </w:pPr>
      <w:r>
        <w:rPr>
          <w:b/>
          <w:sz w:val="22"/>
        </w:rPr>
        <w:t>FUNDAMENTOS DE DERECHO</w:t>
      </w:r>
    </w:p>
    <w:p w14:paraId="7766203B" w14:textId="3CBBA4A5" w:rsidR="00871AA1" w:rsidRDefault="00871AA1" w:rsidP="00871AA1">
      <w:pPr>
        <w:spacing w:before="120" w:after="120"/>
        <w:jc w:val="both"/>
        <w:rPr>
          <w:sz w:val="22"/>
          <w:szCs w:val="22"/>
        </w:rPr>
      </w:pPr>
      <w:proofErr w:type="gramStart"/>
      <w:r>
        <w:rPr>
          <w:b/>
          <w:sz w:val="22"/>
          <w:szCs w:val="22"/>
        </w:rPr>
        <w:t>PRIMERO.</w:t>
      </w:r>
      <w:r w:rsidR="00B31F05">
        <w:rPr>
          <w:b/>
          <w:sz w:val="22"/>
          <w:szCs w:val="22"/>
        </w:rPr>
        <w:t>-</w:t>
      </w:r>
      <w:proofErr w:type="gramEnd"/>
      <w:r>
        <w:rPr>
          <w:sz w:val="22"/>
          <w:szCs w:val="22"/>
        </w:rPr>
        <w:t xml:space="preserve"> </w:t>
      </w:r>
      <w:r w:rsidRPr="00A56C4A">
        <w:rPr>
          <w:sz w:val="22"/>
          <w:szCs w:val="22"/>
        </w:rPr>
        <w:t xml:space="preserve">Es objeto del presente procedimiento la resolución del recurso especial en materia de contratación interpuesto por la sociedad </w:t>
      </w:r>
      <w:r>
        <w:rPr>
          <w:sz w:val="22"/>
          <w:szCs w:val="22"/>
        </w:rPr>
        <w:t>recurrente</w:t>
      </w:r>
      <w:r w:rsidRPr="00A56C4A">
        <w:rPr>
          <w:sz w:val="22"/>
          <w:szCs w:val="22"/>
        </w:rPr>
        <w:t xml:space="preserve"> contra </w:t>
      </w:r>
      <w:r>
        <w:rPr>
          <w:sz w:val="22"/>
          <w:szCs w:val="22"/>
        </w:rPr>
        <w:t xml:space="preserve">el Acuerdo del Consejo de Administración del Instituto Foral de Bienestar Social de </w:t>
      </w:r>
      <w:r w:rsidR="005B3E34">
        <w:rPr>
          <w:sz w:val="22"/>
          <w:szCs w:val="22"/>
        </w:rPr>
        <w:t>Á</w:t>
      </w:r>
      <w:r>
        <w:rPr>
          <w:sz w:val="22"/>
          <w:szCs w:val="22"/>
        </w:rPr>
        <w:t xml:space="preserve">lava, de </w:t>
      </w:r>
      <w:r w:rsidR="00A82374">
        <w:rPr>
          <w:sz w:val="22"/>
          <w:szCs w:val="22"/>
        </w:rPr>
        <w:t>7</w:t>
      </w:r>
      <w:r>
        <w:rPr>
          <w:sz w:val="22"/>
          <w:szCs w:val="22"/>
        </w:rPr>
        <w:t xml:space="preserve"> de se</w:t>
      </w:r>
      <w:r w:rsidR="0004709E">
        <w:rPr>
          <w:sz w:val="22"/>
          <w:szCs w:val="22"/>
        </w:rPr>
        <w:t>p</w:t>
      </w:r>
      <w:r>
        <w:rPr>
          <w:sz w:val="22"/>
          <w:szCs w:val="22"/>
        </w:rPr>
        <w:t>tiembre de 2023, que adjudica el contrato de</w:t>
      </w:r>
      <w:r w:rsidR="00A82374">
        <w:rPr>
          <w:sz w:val="22"/>
          <w:szCs w:val="22"/>
        </w:rPr>
        <w:t xml:space="preserve"> servicio de ayuda a domicilio en el Territorio Histórico de Álava</w:t>
      </w:r>
      <w:r w:rsidR="00793F97">
        <w:rPr>
          <w:sz w:val="22"/>
          <w:szCs w:val="22"/>
        </w:rPr>
        <w:t xml:space="preserve">, en lo que respecta al lote 3: Cuadrilla de Añana y </w:t>
      </w:r>
      <w:proofErr w:type="spellStart"/>
      <w:r w:rsidR="00793F97">
        <w:rPr>
          <w:sz w:val="22"/>
          <w:szCs w:val="22"/>
        </w:rPr>
        <w:t>Gorbeialdea</w:t>
      </w:r>
      <w:proofErr w:type="spellEnd"/>
      <w:r>
        <w:rPr>
          <w:sz w:val="22"/>
          <w:szCs w:val="22"/>
        </w:rPr>
        <w:t>.</w:t>
      </w:r>
    </w:p>
    <w:p w14:paraId="23EF61AF" w14:textId="25C80A16" w:rsidR="00871AA1" w:rsidRPr="00A56C4A" w:rsidRDefault="00793F97" w:rsidP="00871AA1">
      <w:pPr>
        <w:spacing w:before="120" w:after="120"/>
        <w:jc w:val="both"/>
        <w:rPr>
          <w:sz w:val="22"/>
          <w:szCs w:val="22"/>
        </w:rPr>
      </w:pPr>
      <w:r>
        <w:rPr>
          <w:sz w:val="22"/>
          <w:szCs w:val="22"/>
        </w:rPr>
        <w:t xml:space="preserve">Teniendo en </w:t>
      </w:r>
      <w:r w:rsidRPr="00130EBE">
        <w:rPr>
          <w:sz w:val="22"/>
          <w:szCs w:val="22"/>
        </w:rPr>
        <w:t xml:space="preserve">cuenta </w:t>
      </w:r>
      <w:r w:rsidR="00107CAE" w:rsidRPr="00130EBE">
        <w:rPr>
          <w:sz w:val="22"/>
          <w:szCs w:val="22"/>
        </w:rPr>
        <w:t xml:space="preserve">lo anterior y </w:t>
      </w:r>
      <w:r w:rsidRPr="00130EBE">
        <w:rPr>
          <w:sz w:val="22"/>
          <w:szCs w:val="22"/>
        </w:rPr>
        <w:t xml:space="preserve">que el valor estimado del contrato es </w:t>
      </w:r>
      <w:r w:rsidR="004B0F2F" w:rsidRPr="00130EBE">
        <w:rPr>
          <w:sz w:val="22"/>
          <w:szCs w:val="22"/>
        </w:rPr>
        <w:t xml:space="preserve">para el lote 3 objeto de recurso de </w:t>
      </w:r>
      <w:r w:rsidR="00130EBE" w:rsidRPr="00130EBE">
        <w:rPr>
          <w:sz w:val="22"/>
          <w:szCs w:val="22"/>
        </w:rPr>
        <w:t>9.636.251,82</w:t>
      </w:r>
      <w:r w:rsidR="00107CAE" w:rsidRPr="00130EBE">
        <w:rPr>
          <w:sz w:val="22"/>
          <w:szCs w:val="22"/>
        </w:rPr>
        <w:t xml:space="preserve"> euros, </w:t>
      </w:r>
      <w:r w:rsidR="00BF5872" w:rsidRPr="00130EBE">
        <w:rPr>
          <w:sz w:val="22"/>
          <w:szCs w:val="22"/>
        </w:rPr>
        <w:t xml:space="preserve">se concluye, </w:t>
      </w:r>
      <w:r w:rsidR="00107CAE" w:rsidRPr="00130EBE">
        <w:rPr>
          <w:sz w:val="22"/>
          <w:szCs w:val="22"/>
        </w:rPr>
        <w:t xml:space="preserve">conforme a lo previsto en el </w:t>
      </w:r>
      <w:r w:rsidR="00871AA1" w:rsidRPr="00130EBE">
        <w:rPr>
          <w:sz w:val="22"/>
          <w:szCs w:val="22"/>
        </w:rPr>
        <w:t>art. 44 de la LCSP</w:t>
      </w:r>
      <w:r w:rsidR="00BF5872" w:rsidRPr="00130EBE">
        <w:rPr>
          <w:sz w:val="22"/>
          <w:szCs w:val="22"/>
        </w:rPr>
        <w:t>,</w:t>
      </w:r>
      <w:r w:rsidR="00871AA1" w:rsidRPr="00130EBE">
        <w:rPr>
          <w:sz w:val="22"/>
          <w:szCs w:val="22"/>
        </w:rPr>
        <w:t xml:space="preserve"> </w:t>
      </w:r>
      <w:r w:rsidR="00BF5872" w:rsidRPr="00130EBE">
        <w:rPr>
          <w:sz w:val="22"/>
          <w:szCs w:val="22"/>
        </w:rPr>
        <w:t xml:space="preserve">que </w:t>
      </w:r>
      <w:r w:rsidR="00871AA1" w:rsidRPr="00130EBE">
        <w:rPr>
          <w:sz w:val="22"/>
          <w:szCs w:val="22"/>
        </w:rPr>
        <w:t>el</w:t>
      </w:r>
      <w:r w:rsidR="00871AA1">
        <w:rPr>
          <w:sz w:val="22"/>
          <w:szCs w:val="22"/>
        </w:rPr>
        <w:t xml:space="preserve"> acto</w:t>
      </w:r>
      <w:r w:rsidR="00871AA1" w:rsidRPr="00A56C4A">
        <w:rPr>
          <w:sz w:val="22"/>
          <w:szCs w:val="22"/>
        </w:rPr>
        <w:t xml:space="preserve"> es susceptible de</w:t>
      </w:r>
      <w:r w:rsidR="00871AA1">
        <w:rPr>
          <w:sz w:val="22"/>
          <w:szCs w:val="22"/>
        </w:rPr>
        <w:t xml:space="preserve"> </w:t>
      </w:r>
      <w:r w:rsidR="00107CAE">
        <w:rPr>
          <w:sz w:val="22"/>
          <w:szCs w:val="22"/>
        </w:rPr>
        <w:t>impugnación</w:t>
      </w:r>
      <w:r w:rsidR="00871AA1">
        <w:rPr>
          <w:sz w:val="22"/>
          <w:szCs w:val="22"/>
        </w:rPr>
        <w:t xml:space="preserve"> mediante</w:t>
      </w:r>
      <w:r w:rsidR="00871AA1" w:rsidRPr="00A56C4A">
        <w:rPr>
          <w:sz w:val="22"/>
          <w:szCs w:val="22"/>
        </w:rPr>
        <w:t xml:space="preserve"> recurso especial</w:t>
      </w:r>
      <w:r w:rsidR="00871AA1">
        <w:rPr>
          <w:sz w:val="22"/>
          <w:szCs w:val="22"/>
        </w:rPr>
        <w:t xml:space="preserve"> en materia de contratación.</w:t>
      </w:r>
    </w:p>
    <w:p w14:paraId="31833FEE" w14:textId="77777777" w:rsidR="00871AA1" w:rsidRDefault="00871AA1" w:rsidP="00871AA1">
      <w:pPr>
        <w:jc w:val="both"/>
        <w:rPr>
          <w:b/>
          <w:sz w:val="22"/>
          <w:szCs w:val="22"/>
        </w:rPr>
      </w:pPr>
    </w:p>
    <w:p w14:paraId="133860A2" w14:textId="05A829F5" w:rsidR="00871AA1" w:rsidRDefault="00871AA1" w:rsidP="00871AA1">
      <w:pPr>
        <w:jc w:val="both"/>
        <w:rPr>
          <w:sz w:val="22"/>
        </w:rPr>
      </w:pPr>
      <w:r>
        <w:rPr>
          <w:b/>
          <w:sz w:val="22"/>
          <w:szCs w:val="22"/>
        </w:rPr>
        <w:t>SEGUNDO.</w:t>
      </w:r>
      <w:r w:rsidR="00B31F05">
        <w:rPr>
          <w:b/>
          <w:sz w:val="22"/>
          <w:szCs w:val="22"/>
        </w:rPr>
        <w:t>-</w:t>
      </w:r>
      <w:r>
        <w:rPr>
          <w:sz w:val="22"/>
          <w:szCs w:val="22"/>
        </w:rPr>
        <w:t xml:space="preserve"> </w:t>
      </w:r>
      <w:r w:rsidRPr="00A56C4A">
        <w:rPr>
          <w:sz w:val="22"/>
          <w:szCs w:val="22"/>
        </w:rPr>
        <w:t>La competencia para resolver el presente recurso especial corresponde a este Órgano conforme a lo establecido en el art. 46.5 LCSP, y en el Decreto Foral 44/2010, de 28 de septiembre, del Consejo de Gobierno Foral,</w:t>
      </w:r>
      <w:r w:rsidRPr="00C320DC">
        <w:t xml:space="preserve"> </w:t>
      </w:r>
      <w:r w:rsidRPr="00C320DC">
        <w:rPr>
          <w:sz w:val="22"/>
          <w:szCs w:val="22"/>
        </w:rPr>
        <w:t>que aprueba la creación del Órgano Administrativo Foral de Recursos Contractuales</w:t>
      </w:r>
      <w:r>
        <w:rPr>
          <w:sz w:val="22"/>
          <w:szCs w:val="22"/>
        </w:rPr>
        <w:t>,</w:t>
      </w:r>
      <w:r w:rsidRPr="00A56C4A">
        <w:rPr>
          <w:sz w:val="22"/>
          <w:szCs w:val="22"/>
        </w:rPr>
        <w:t xml:space="preserv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74DFF227" w14:textId="77777777" w:rsidR="00871AA1" w:rsidRDefault="00871AA1" w:rsidP="00871AA1">
      <w:pPr>
        <w:jc w:val="both"/>
        <w:rPr>
          <w:i/>
          <w:sz w:val="22"/>
          <w:szCs w:val="22"/>
        </w:rPr>
      </w:pPr>
    </w:p>
    <w:p w14:paraId="4E59B110" w14:textId="1F5E5194" w:rsidR="00871AA1" w:rsidRDefault="00871AA1" w:rsidP="00871AA1">
      <w:pPr>
        <w:spacing w:after="360"/>
        <w:jc w:val="both"/>
        <w:rPr>
          <w:sz w:val="22"/>
          <w:szCs w:val="22"/>
        </w:rPr>
      </w:pPr>
      <w:proofErr w:type="gramStart"/>
      <w:r>
        <w:rPr>
          <w:b/>
          <w:sz w:val="22"/>
        </w:rPr>
        <w:t>TERCERO.-</w:t>
      </w:r>
      <w:proofErr w:type="gramEnd"/>
      <w:r w:rsidRPr="005B514E">
        <w:rPr>
          <w:sz w:val="22"/>
          <w:szCs w:val="22"/>
        </w:rPr>
        <w:t xml:space="preserve"> </w:t>
      </w:r>
      <w:r w:rsidRPr="00A56C4A">
        <w:rPr>
          <w:sz w:val="22"/>
          <w:szCs w:val="22"/>
        </w:rPr>
        <w:t xml:space="preserve">El recurso se ha interpuesto dentro del plazo de quince días hábiles establecido en el artículo 50.1 </w:t>
      </w:r>
      <w:r>
        <w:rPr>
          <w:sz w:val="22"/>
          <w:szCs w:val="22"/>
        </w:rPr>
        <w:t>d</w:t>
      </w:r>
      <w:r w:rsidRPr="00A56C4A">
        <w:rPr>
          <w:sz w:val="22"/>
          <w:szCs w:val="22"/>
        </w:rPr>
        <w:t xml:space="preserve">) de la LCSP, a contar a partir del día siguiente a aquel en que se haya </w:t>
      </w:r>
      <w:r>
        <w:rPr>
          <w:sz w:val="22"/>
          <w:szCs w:val="22"/>
        </w:rPr>
        <w:t>notificado la adjudicación</w:t>
      </w:r>
      <w:r w:rsidRPr="00A56C4A">
        <w:rPr>
          <w:sz w:val="22"/>
          <w:szCs w:val="22"/>
        </w:rPr>
        <w:t xml:space="preserve">. </w:t>
      </w:r>
    </w:p>
    <w:p w14:paraId="61EA860E" w14:textId="132E7C85" w:rsidR="00871AA1" w:rsidRDefault="00871AA1" w:rsidP="00F651A0">
      <w:pPr>
        <w:jc w:val="both"/>
        <w:rPr>
          <w:sz w:val="22"/>
          <w:szCs w:val="22"/>
        </w:rPr>
      </w:pPr>
      <w:proofErr w:type="gramStart"/>
      <w:r>
        <w:rPr>
          <w:b/>
          <w:bCs/>
          <w:sz w:val="22"/>
          <w:szCs w:val="22"/>
        </w:rPr>
        <w:lastRenderedPageBreak/>
        <w:t>CUARTO</w:t>
      </w:r>
      <w:r w:rsidRPr="00A56C4A">
        <w:rPr>
          <w:sz w:val="22"/>
          <w:szCs w:val="22"/>
        </w:rPr>
        <w:t>.-</w:t>
      </w:r>
      <w:proofErr w:type="gramEnd"/>
      <w:r w:rsidRPr="00A56C4A">
        <w:rPr>
          <w:sz w:val="22"/>
          <w:szCs w:val="22"/>
        </w:rPr>
        <w:t xml:space="preserve"> La entidad reclamante ostenta legitimación de acuerdo con el artículo 48 de la LCSP, que señala en su párrafo primero que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796BC205" w14:textId="77777777" w:rsidR="00F651A0" w:rsidRDefault="00F651A0" w:rsidP="00F651A0">
      <w:pPr>
        <w:jc w:val="both"/>
        <w:rPr>
          <w:sz w:val="22"/>
          <w:szCs w:val="22"/>
        </w:rPr>
      </w:pPr>
    </w:p>
    <w:p w14:paraId="1409018F" w14:textId="66958335" w:rsidR="0094009B" w:rsidRDefault="0094009B" w:rsidP="00F651A0">
      <w:pPr>
        <w:jc w:val="both"/>
        <w:rPr>
          <w:sz w:val="22"/>
          <w:szCs w:val="22"/>
        </w:rPr>
      </w:pPr>
      <w:r>
        <w:rPr>
          <w:sz w:val="22"/>
          <w:szCs w:val="22"/>
        </w:rPr>
        <w:t>Debe examinarse</w:t>
      </w:r>
      <w:r w:rsidR="002746CA">
        <w:rPr>
          <w:sz w:val="22"/>
          <w:szCs w:val="22"/>
        </w:rPr>
        <w:t xml:space="preserve">, por otra parte, </w:t>
      </w:r>
      <w:r>
        <w:rPr>
          <w:sz w:val="22"/>
          <w:szCs w:val="22"/>
        </w:rPr>
        <w:t>la legitimación de la empresa ZAINTZEN</w:t>
      </w:r>
      <w:r w:rsidR="00722B3A">
        <w:rPr>
          <w:sz w:val="22"/>
          <w:szCs w:val="22"/>
        </w:rPr>
        <w:t>, S.</w:t>
      </w:r>
      <w:r w:rsidR="001C2C70">
        <w:rPr>
          <w:sz w:val="22"/>
          <w:szCs w:val="22"/>
        </w:rPr>
        <w:t>A</w:t>
      </w:r>
      <w:r w:rsidR="00722B3A">
        <w:rPr>
          <w:sz w:val="22"/>
          <w:szCs w:val="22"/>
        </w:rPr>
        <w:t>. en la medida en que, mediante su escrito de alegaciones, no se limita a sostener la validez de la resolución administrativa impugnada, sino que, como se ha indicado anteriormente, se adhiere en parte a la pretensión ejercitada por la recurrente, solicitando la estimación parcial del recurso especial en lo que respecta a la exclusión de la empresa adjudicataria SACYR SOCIAL, S.L.</w:t>
      </w:r>
    </w:p>
    <w:p w14:paraId="3B52B395" w14:textId="77777777" w:rsidR="00496C91" w:rsidRDefault="00496C91" w:rsidP="00F651A0">
      <w:pPr>
        <w:jc w:val="both"/>
        <w:rPr>
          <w:sz w:val="22"/>
          <w:szCs w:val="22"/>
        </w:rPr>
      </w:pPr>
    </w:p>
    <w:p w14:paraId="0FF44D92" w14:textId="741DEE7A" w:rsidR="00A26138" w:rsidRDefault="00A26138" w:rsidP="00F651A0">
      <w:pPr>
        <w:jc w:val="both"/>
        <w:rPr>
          <w:sz w:val="22"/>
          <w:szCs w:val="22"/>
        </w:rPr>
      </w:pPr>
      <w:r>
        <w:rPr>
          <w:sz w:val="22"/>
          <w:szCs w:val="22"/>
        </w:rPr>
        <w:t>Ha de tenerse en cuenta que ZAINTZEN, S.</w:t>
      </w:r>
      <w:r w:rsidR="001C2C70">
        <w:rPr>
          <w:sz w:val="22"/>
          <w:szCs w:val="22"/>
        </w:rPr>
        <w:t>A</w:t>
      </w:r>
      <w:r>
        <w:rPr>
          <w:sz w:val="22"/>
          <w:szCs w:val="22"/>
        </w:rPr>
        <w:t xml:space="preserve">. no </w:t>
      </w:r>
      <w:r w:rsidR="00D7678C">
        <w:rPr>
          <w:sz w:val="22"/>
          <w:szCs w:val="22"/>
        </w:rPr>
        <w:t>interpuso en plazo</w:t>
      </w:r>
      <w:r>
        <w:rPr>
          <w:sz w:val="22"/>
          <w:szCs w:val="22"/>
        </w:rPr>
        <w:t xml:space="preserve"> recurso especial frente a la resolución administrativa de adjudicación del contrato y, en consecuencia, la admisión </w:t>
      </w:r>
      <w:r w:rsidR="00811E19">
        <w:rPr>
          <w:sz w:val="22"/>
          <w:szCs w:val="22"/>
        </w:rPr>
        <w:t xml:space="preserve">(o no exclusión) </w:t>
      </w:r>
      <w:r>
        <w:rPr>
          <w:sz w:val="22"/>
          <w:szCs w:val="22"/>
        </w:rPr>
        <w:t xml:space="preserve">del </w:t>
      </w:r>
      <w:r w:rsidR="00555A7F">
        <w:rPr>
          <w:sz w:val="22"/>
          <w:szCs w:val="22"/>
        </w:rPr>
        <w:t xml:space="preserve">licitador adjudicatario </w:t>
      </w:r>
      <w:r w:rsidR="00811E19">
        <w:rPr>
          <w:sz w:val="22"/>
          <w:szCs w:val="22"/>
        </w:rPr>
        <w:t xml:space="preserve">contenida en aquella </w:t>
      </w:r>
      <w:r w:rsidR="00555A7F">
        <w:rPr>
          <w:sz w:val="22"/>
          <w:szCs w:val="22"/>
        </w:rPr>
        <w:t xml:space="preserve">es </w:t>
      </w:r>
      <w:r w:rsidR="00C60125">
        <w:rPr>
          <w:sz w:val="22"/>
          <w:szCs w:val="22"/>
        </w:rPr>
        <w:t xml:space="preserve">para esta empresa acto </w:t>
      </w:r>
      <w:r w:rsidR="00555A7F">
        <w:rPr>
          <w:sz w:val="22"/>
          <w:szCs w:val="22"/>
        </w:rPr>
        <w:t>consentid</w:t>
      </w:r>
      <w:r w:rsidR="00C60125">
        <w:rPr>
          <w:sz w:val="22"/>
          <w:szCs w:val="22"/>
        </w:rPr>
        <w:t>o</w:t>
      </w:r>
      <w:r w:rsidR="00555A7F">
        <w:rPr>
          <w:sz w:val="22"/>
          <w:szCs w:val="22"/>
        </w:rPr>
        <w:t xml:space="preserve"> y firme</w:t>
      </w:r>
      <w:r w:rsidR="00D7678C">
        <w:rPr>
          <w:sz w:val="22"/>
          <w:szCs w:val="22"/>
        </w:rPr>
        <w:t>.</w:t>
      </w:r>
    </w:p>
    <w:p w14:paraId="76D6BC74" w14:textId="77777777" w:rsidR="00F651A0" w:rsidRDefault="00F651A0" w:rsidP="00F651A0">
      <w:pPr>
        <w:jc w:val="both"/>
        <w:rPr>
          <w:sz w:val="22"/>
          <w:szCs w:val="22"/>
        </w:rPr>
      </w:pPr>
    </w:p>
    <w:p w14:paraId="1E1D97F9" w14:textId="46FD19E2" w:rsidR="002746CA" w:rsidRDefault="00152063" w:rsidP="00F651A0">
      <w:pPr>
        <w:jc w:val="both"/>
        <w:rPr>
          <w:sz w:val="22"/>
          <w:szCs w:val="22"/>
        </w:rPr>
      </w:pPr>
      <w:r>
        <w:rPr>
          <w:sz w:val="22"/>
          <w:szCs w:val="22"/>
        </w:rPr>
        <w:t>Habiendo caducado, según lo expuesto, la acción impugnatoria de ZAINTZEN, S.</w:t>
      </w:r>
      <w:r w:rsidR="001C2C70">
        <w:rPr>
          <w:sz w:val="22"/>
          <w:szCs w:val="22"/>
        </w:rPr>
        <w:t>A</w:t>
      </w:r>
      <w:r>
        <w:rPr>
          <w:sz w:val="22"/>
          <w:szCs w:val="22"/>
        </w:rPr>
        <w:t xml:space="preserve">., ha de reconocerse a esta empresa únicamente legitimación pasiva para sostener la validez de la resolución administrativa impugnada, pero </w:t>
      </w:r>
      <w:r w:rsidR="00BE0EE5">
        <w:rPr>
          <w:sz w:val="22"/>
          <w:szCs w:val="22"/>
        </w:rPr>
        <w:t>no puede admitirse su</w:t>
      </w:r>
      <w:r>
        <w:rPr>
          <w:sz w:val="22"/>
          <w:szCs w:val="22"/>
        </w:rPr>
        <w:t xml:space="preserve"> legitimación activa para solicitar la exclusión del licitador adjudicatario</w:t>
      </w:r>
      <w:r w:rsidR="00C60125">
        <w:rPr>
          <w:sz w:val="22"/>
          <w:szCs w:val="22"/>
        </w:rPr>
        <w:t>, siendo lo contrario constitutivo de fraude procesal</w:t>
      </w:r>
      <w:r w:rsidR="00436444">
        <w:rPr>
          <w:sz w:val="22"/>
          <w:szCs w:val="22"/>
        </w:rPr>
        <w:t xml:space="preserve">, pues </w:t>
      </w:r>
      <w:r w:rsidR="00D164D1">
        <w:rPr>
          <w:sz w:val="22"/>
          <w:szCs w:val="22"/>
        </w:rPr>
        <w:t>significaría</w:t>
      </w:r>
      <w:r w:rsidR="00436444">
        <w:rPr>
          <w:sz w:val="22"/>
          <w:szCs w:val="22"/>
        </w:rPr>
        <w:t xml:space="preserve">, </w:t>
      </w:r>
      <w:r w:rsidR="00D164D1">
        <w:rPr>
          <w:sz w:val="22"/>
          <w:szCs w:val="22"/>
        </w:rPr>
        <w:t>bajo el pretexto</w:t>
      </w:r>
      <w:r w:rsidR="00436444">
        <w:rPr>
          <w:sz w:val="22"/>
          <w:szCs w:val="22"/>
        </w:rPr>
        <w:t xml:space="preserve"> del derecho a formular alegaciones previsto en el artículo 56.3 LCSP</w:t>
      </w:r>
      <w:r w:rsidR="00811E19">
        <w:rPr>
          <w:sz w:val="22"/>
          <w:szCs w:val="22"/>
        </w:rPr>
        <w:t>, la rehabilitación de una acción de impugnación caducada, de acuerdo con lo establecido acerca del plazo para la interposición del recurso especial en el artículo 50.1 LCSP.</w:t>
      </w:r>
    </w:p>
    <w:p w14:paraId="373E826A" w14:textId="77777777" w:rsidR="00496C91" w:rsidRDefault="00496C91" w:rsidP="00F651A0">
      <w:pPr>
        <w:jc w:val="both"/>
        <w:rPr>
          <w:sz w:val="22"/>
          <w:szCs w:val="22"/>
        </w:rPr>
      </w:pPr>
    </w:p>
    <w:p w14:paraId="045DFA84" w14:textId="38E7FF6B" w:rsidR="00C60125" w:rsidRDefault="00C60125" w:rsidP="00F651A0">
      <w:pPr>
        <w:jc w:val="both"/>
        <w:rPr>
          <w:sz w:val="22"/>
          <w:szCs w:val="22"/>
        </w:rPr>
      </w:pPr>
      <w:r>
        <w:rPr>
          <w:sz w:val="22"/>
          <w:szCs w:val="22"/>
        </w:rPr>
        <w:t>Es</w:t>
      </w:r>
      <w:r w:rsidR="00B31F05">
        <w:rPr>
          <w:sz w:val="22"/>
          <w:szCs w:val="22"/>
        </w:rPr>
        <w:t>, por lo demás,</w:t>
      </w:r>
      <w:r>
        <w:rPr>
          <w:sz w:val="22"/>
          <w:szCs w:val="22"/>
        </w:rPr>
        <w:t xml:space="preserve"> de aplicación a</w:t>
      </w:r>
      <w:r w:rsidR="001C0E38">
        <w:rPr>
          <w:sz w:val="22"/>
          <w:szCs w:val="22"/>
        </w:rPr>
        <w:t>l caso, por referirse a una situación idéntica en lo sustancial,</w:t>
      </w:r>
      <w:r>
        <w:rPr>
          <w:sz w:val="22"/>
          <w:szCs w:val="22"/>
        </w:rPr>
        <w:t xml:space="preserve"> la doctrina jurisprudencial </w:t>
      </w:r>
      <w:r w:rsidR="001C0E38">
        <w:rPr>
          <w:sz w:val="22"/>
          <w:szCs w:val="22"/>
        </w:rPr>
        <w:t>que niega legitimación en el recurso contencioso-administrativo</w:t>
      </w:r>
      <w:r w:rsidR="00731FC9">
        <w:rPr>
          <w:sz w:val="22"/>
          <w:szCs w:val="22"/>
        </w:rPr>
        <w:t xml:space="preserve"> a los terceros interesados para intervenir como </w:t>
      </w:r>
      <w:proofErr w:type="spellStart"/>
      <w:r w:rsidR="00731FC9">
        <w:rPr>
          <w:sz w:val="22"/>
          <w:szCs w:val="22"/>
        </w:rPr>
        <w:t>codemandantes</w:t>
      </w:r>
      <w:proofErr w:type="spellEnd"/>
      <w:r w:rsidR="00731FC9">
        <w:rPr>
          <w:sz w:val="22"/>
          <w:szCs w:val="22"/>
        </w:rPr>
        <w:t xml:space="preserve"> o coadyuvantes de la parte recurrente (STS de 5 de octubre de 2004, RCA 6368/2001</w:t>
      </w:r>
      <w:r w:rsidR="00C60511">
        <w:rPr>
          <w:sz w:val="22"/>
          <w:szCs w:val="22"/>
        </w:rPr>
        <w:t>, entre otras</w:t>
      </w:r>
      <w:r w:rsidR="00731FC9">
        <w:rPr>
          <w:sz w:val="22"/>
          <w:szCs w:val="22"/>
        </w:rPr>
        <w:t>).</w:t>
      </w:r>
    </w:p>
    <w:p w14:paraId="4E6A3794" w14:textId="77777777" w:rsidR="00F651A0" w:rsidRDefault="00F651A0" w:rsidP="00F651A0">
      <w:pPr>
        <w:jc w:val="both"/>
        <w:rPr>
          <w:sz w:val="22"/>
          <w:szCs w:val="22"/>
        </w:rPr>
      </w:pPr>
    </w:p>
    <w:p w14:paraId="3F78B054" w14:textId="5BE2FD22" w:rsidR="00BE0EE5" w:rsidRDefault="00BE0EE5" w:rsidP="00F651A0">
      <w:pPr>
        <w:jc w:val="both"/>
        <w:rPr>
          <w:sz w:val="22"/>
          <w:szCs w:val="22"/>
        </w:rPr>
      </w:pPr>
      <w:r>
        <w:rPr>
          <w:sz w:val="22"/>
          <w:szCs w:val="22"/>
        </w:rPr>
        <w:t>En conclusión, procede la inadmisión de la pretensión de estimación parcial del recurso especial, en lo que respecta a la exclusión de la empresa adjudicataria, formulada por ZAINTZEN, S.</w:t>
      </w:r>
      <w:r w:rsidR="001C2C70">
        <w:rPr>
          <w:sz w:val="22"/>
          <w:szCs w:val="22"/>
        </w:rPr>
        <w:t>A</w:t>
      </w:r>
      <w:r>
        <w:rPr>
          <w:sz w:val="22"/>
          <w:szCs w:val="22"/>
        </w:rPr>
        <w:t>. en su escrito de alegaciones.</w:t>
      </w:r>
      <w:r w:rsidR="00DA51A0">
        <w:rPr>
          <w:sz w:val="22"/>
          <w:szCs w:val="22"/>
        </w:rPr>
        <w:t xml:space="preserve"> </w:t>
      </w:r>
    </w:p>
    <w:p w14:paraId="2E15EF6C" w14:textId="77777777" w:rsidR="00F651A0" w:rsidRDefault="00F651A0" w:rsidP="00F651A0">
      <w:pPr>
        <w:jc w:val="both"/>
        <w:rPr>
          <w:sz w:val="22"/>
          <w:szCs w:val="22"/>
        </w:rPr>
      </w:pPr>
    </w:p>
    <w:p w14:paraId="4A85E948" w14:textId="53631479" w:rsidR="00BE0EE5" w:rsidRDefault="00871AA1" w:rsidP="002B638E">
      <w:pPr>
        <w:jc w:val="both"/>
        <w:rPr>
          <w:sz w:val="22"/>
          <w:szCs w:val="22"/>
        </w:rPr>
      </w:pPr>
      <w:proofErr w:type="gramStart"/>
      <w:r w:rsidRPr="000B2D47">
        <w:rPr>
          <w:b/>
          <w:bCs/>
          <w:sz w:val="22"/>
          <w:szCs w:val="22"/>
        </w:rPr>
        <w:t>QUINTO.</w:t>
      </w:r>
      <w:r w:rsidR="00B31F05">
        <w:rPr>
          <w:b/>
          <w:bCs/>
          <w:sz w:val="22"/>
          <w:szCs w:val="22"/>
        </w:rPr>
        <w:t>-</w:t>
      </w:r>
      <w:proofErr w:type="gramEnd"/>
      <w:r>
        <w:rPr>
          <w:b/>
          <w:bCs/>
          <w:sz w:val="22"/>
          <w:szCs w:val="22"/>
        </w:rPr>
        <w:t xml:space="preserve"> </w:t>
      </w:r>
      <w:r w:rsidRPr="000B2D47">
        <w:rPr>
          <w:sz w:val="22"/>
          <w:szCs w:val="22"/>
        </w:rPr>
        <w:t xml:space="preserve">La empresa </w:t>
      </w:r>
      <w:r>
        <w:rPr>
          <w:sz w:val="22"/>
          <w:szCs w:val="22"/>
        </w:rPr>
        <w:t>recurrente</w:t>
      </w:r>
      <w:r w:rsidR="00BE0EE5">
        <w:rPr>
          <w:sz w:val="22"/>
          <w:szCs w:val="22"/>
        </w:rPr>
        <w:t xml:space="preserve">, PROTECCIÓN GERIÁTRICA 2005, S.L., </w:t>
      </w:r>
      <w:r w:rsidR="004068A5">
        <w:rPr>
          <w:sz w:val="22"/>
          <w:szCs w:val="22"/>
        </w:rPr>
        <w:t>funda sus pretensiones</w:t>
      </w:r>
      <w:r w:rsidR="002B638E">
        <w:rPr>
          <w:sz w:val="22"/>
          <w:szCs w:val="22"/>
        </w:rPr>
        <w:t>, en primer lugar,</w:t>
      </w:r>
      <w:r w:rsidR="00BE0EE5">
        <w:rPr>
          <w:sz w:val="22"/>
          <w:szCs w:val="22"/>
        </w:rPr>
        <w:t xml:space="preserve"> </w:t>
      </w:r>
      <w:r w:rsidR="004068A5">
        <w:rPr>
          <w:sz w:val="22"/>
          <w:szCs w:val="22"/>
        </w:rPr>
        <w:t xml:space="preserve">en </w:t>
      </w:r>
      <w:r w:rsidR="002B638E">
        <w:rPr>
          <w:sz w:val="22"/>
          <w:szCs w:val="22"/>
        </w:rPr>
        <w:t xml:space="preserve">la procedencia de excluir la oferta presentada por la adjudicataria, </w:t>
      </w:r>
      <w:r w:rsidR="00BE0EE5">
        <w:rPr>
          <w:sz w:val="22"/>
          <w:szCs w:val="22"/>
        </w:rPr>
        <w:t>SACYR SOCIAL, S.L.</w:t>
      </w:r>
      <w:r w:rsidR="002B638E">
        <w:rPr>
          <w:sz w:val="22"/>
          <w:szCs w:val="22"/>
        </w:rPr>
        <w:t xml:space="preserve">, y, en segundo lugar, </w:t>
      </w:r>
      <w:r w:rsidR="004068A5">
        <w:rPr>
          <w:sz w:val="22"/>
          <w:szCs w:val="22"/>
        </w:rPr>
        <w:t xml:space="preserve">en </w:t>
      </w:r>
      <w:r w:rsidR="002B638E">
        <w:rPr>
          <w:sz w:val="22"/>
          <w:szCs w:val="22"/>
        </w:rPr>
        <w:t>la</w:t>
      </w:r>
      <w:r w:rsidR="00EF6A1E">
        <w:rPr>
          <w:sz w:val="22"/>
          <w:szCs w:val="22"/>
        </w:rPr>
        <w:t xml:space="preserve"> procedencia</w:t>
      </w:r>
      <w:r w:rsidR="002B638E">
        <w:rPr>
          <w:sz w:val="22"/>
          <w:szCs w:val="22"/>
        </w:rPr>
        <w:t xml:space="preserve"> de revisar</w:t>
      </w:r>
      <w:r w:rsidR="00EF6A1E">
        <w:rPr>
          <w:sz w:val="22"/>
          <w:szCs w:val="22"/>
        </w:rPr>
        <w:t>, por errónea,</w:t>
      </w:r>
      <w:r w:rsidR="002B638E">
        <w:rPr>
          <w:sz w:val="22"/>
          <w:szCs w:val="22"/>
        </w:rPr>
        <w:t xml:space="preserve"> la valoración de las ofertas de SACYR SOCIAL, S.L. y de ZAINTEN, S.</w:t>
      </w:r>
      <w:r w:rsidR="001C2C70">
        <w:rPr>
          <w:sz w:val="22"/>
          <w:szCs w:val="22"/>
        </w:rPr>
        <w:t>A</w:t>
      </w:r>
      <w:r w:rsidR="002B638E">
        <w:rPr>
          <w:sz w:val="22"/>
          <w:szCs w:val="22"/>
        </w:rPr>
        <w:t xml:space="preserve">., en lo que respecta a la aplicación de los criterios </w:t>
      </w:r>
      <w:r w:rsidR="00433C04">
        <w:rPr>
          <w:sz w:val="22"/>
          <w:szCs w:val="22"/>
        </w:rPr>
        <w:t>cuya cuantificación depende de</w:t>
      </w:r>
      <w:r w:rsidR="002B638E">
        <w:rPr>
          <w:sz w:val="22"/>
          <w:szCs w:val="22"/>
        </w:rPr>
        <w:t xml:space="preserve"> un juicio de valor.</w:t>
      </w:r>
    </w:p>
    <w:p w14:paraId="3326757C" w14:textId="6575D8E2" w:rsidR="002B638E" w:rsidRDefault="002B638E" w:rsidP="002B638E">
      <w:pPr>
        <w:jc w:val="both"/>
        <w:rPr>
          <w:sz w:val="22"/>
          <w:szCs w:val="22"/>
        </w:rPr>
      </w:pPr>
    </w:p>
    <w:p w14:paraId="06D7E199" w14:textId="1B1553E1" w:rsidR="00B47BEB" w:rsidRDefault="002B638E" w:rsidP="002B638E">
      <w:pPr>
        <w:jc w:val="both"/>
        <w:rPr>
          <w:sz w:val="22"/>
          <w:szCs w:val="22"/>
        </w:rPr>
      </w:pPr>
      <w:r>
        <w:rPr>
          <w:sz w:val="22"/>
          <w:szCs w:val="22"/>
        </w:rPr>
        <w:t xml:space="preserve">En relación con el primer punto, </w:t>
      </w:r>
      <w:r w:rsidR="00433C04">
        <w:rPr>
          <w:sz w:val="22"/>
          <w:szCs w:val="22"/>
        </w:rPr>
        <w:t xml:space="preserve">la </w:t>
      </w:r>
      <w:r w:rsidR="004068A5">
        <w:rPr>
          <w:sz w:val="22"/>
          <w:szCs w:val="22"/>
        </w:rPr>
        <w:t>adjudicataria</w:t>
      </w:r>
      <w:r w:rsidR="00363B91">
        <w:rPr>
          <w:sz w:val="22"/>
          <w:szCs w:val="22"/>
        </w:rPr>
        <w:t xml:space="preserve"> </w:t>
      </w:r>
      <w:r w:rsidR="00433C04">
        <w:rPr>
          <w:sz w:val="22"/>
          <w:szCs w:val="22"/>
        </w:rPr>
        <w:t>ha incluido</w:t>
      </w:r>
      <w:r w:rsidR="00363B91">
        <w:rPr>
          <w:sz w:val="22"/>
          <w:szCs w:val="22"/>
        </w:rPr>
        <w:t>, a su juicio,</w:t>
      </w:r>
      <w:r w:rsidR="00433C04">
        <w:rPr>
          <w:sz w:val="22"/>
          <w:szCs w:val="22"/>
        </w:rPr>
        <w:t xml:space="preserve"> información a valorar mediante fórmulas</w:t>
      </w:r>
      <w:r w:rsidR="006C7B01">
        <w:rPr>
          <w:sz w:val="22"/>
          <w:szCs w:val="22"/>
        </w:rPr>
        <w:t xml:space="preserve">, relativa a la </w:t>
      </w:r>
      <w:r w:rsidR="00363B91">
        <w:rPr>
          <w:sz w:val="22"/>
          <w:szCs w:val="22"/>
        </w:rPr>
        <w:t xml:space="preserve">disponibilidad de un servicio de valoración de riesgos </w:t>
      </w:r>
      <w:r w:rsidR="001C58E3">
        <w:rPr>
          <w:sz w:val="22"/>
          <w:szCs w:val="22"/>
        </w:rPr>
        <w:t>en</w:t>
      </w:r>
      <w:r w:rsidR="00AD0EB7">
        <w:rPr>
          <w:sz w:val="22"/>
          <w:szCs w:val="22"/>
        </w:rPr>
        <w:t xml:space="preserve"> domicilio y asesoramiento para adaptaciones básicas necesarias</w:t>
      </w:r>
      <w:r w:rsidR="00FA482C">
        <w:rPr>
          <w:sz w:val="22"/>
          <w:szCs w:val="22"/>
        </w:rPr>
        <w:t xml:space="preserve"> (punto M.3 del cuadro de características)</w:t>
      </w:r>
      <w:r w:rsidR="006C7B01">
        <w:rPr>
          <w:sz w:val="22"/>
          <w:szCs w:val="22"/>
        </w:rPr>
        <w:t>,</w:t>
      </w:r>
      <w:r w:rsidR="00363B91">
        <w:rPr>
          <w:sz w:val="22"/>
          <w:szCs w:val="22"/>
        </w:rPr>
        <w:t xml:space="preserve"> </w:t>
      </w:r>
      <w:r w:rsidR="00433C04">
        <w:rPr>
          <w:sz w:val="22"/>
          <w:szCs w:val="22"/>
        </w:rPr>
        <w:t xml:space="preserve">en el sobre </w:t>
      </w:r>
      <w:r w:rsidR="006C7B01">
        <w:rPr>
          <w:sz w:val="22"/>
          <w:szCs w:val="22"/>
        </w:rPr>
        <w:t xml:space="preserve">B </w:t>
      </w:r>
      <w:r w:rsidR="00433C04">
        <w:rPr>
          <w:sz w:val="22"/>
          <w:szCs w:val="22"/>
        </w:rPr>
        <w:t>destinado a la información a valorar mediante juicio de valor</w:t>
      </w:r>
      <w:r w:rsidR="00B47BEB">
        <w:rPr>
          <w:sz w:val="22"/>
          <w:szCs w:val="22"/>
        </w:rPr>
        <w:t xml:space="preserve">, contaminando de esta forma </w:t>
      </w:r>
      <w:r w:rsidR="00AD0EB7">
        <w:rPr>
          <w:sz w:val="22"/>
          <w:szCs w:val="22"/>
        </w:rPr>
        <w:t xml:space="preserve">y comprometiendo la objetividad de </w:t>
      </w:r>
      <w:r w:rsidR="00B47BEB">
        <w:rPr>
          <w:sz w:val="22"/>
          <w:szCs w:val="22"/>
        </w:rPr>
        <w:t xml:space="preserve">la </w:t>
      </w:r>
      <w:r w:rsidR="00AD0EB7">
        <w:rPr>
          <w:sz w:val="22"/>
          <w:szCs w:val="22"/>
        </w:rPr>
        <w:t xml:space="preserve">evaluación </w:t>
      </w:r>
      <w:r w:rsidR="00317EC4">
        <w:rPr>
          <w:sz w:val="22"/>
          <w:szCs w:val="22"/>
        </w:rPr>
        <w:t xml:space="preserve">no sujeta a fórmulas </w:t>
      </w:r>
      <w:r w:rsidR="00B47BEB">
        <w:rPr>
          <w:sz w:val="22"/>
          <w:szCs w:val="22"/>
        </w:rPr>
        <w:t>efectuad</w:t>
      </w:r>
      <w:r w:rsidR="00AD0EB7">
        <w:rPr>
          <w:sz w:val="22"/>
          <w:szCs w:val="22"/>
        </w:rPr>
        <w:t>a</w:t>
      </w:r>
      <w:r w:rsidR="00B47BEB">
        <w:rPr>
          <w:sz w:val="22"/>
          <w:szCs w:val="22"/>
        </w:rPr>
        <w:t xml:space="preserve"> por la mesa y </w:t>
      </w:r>
      <w:r w:rsidR="00AD0EB7">
        <w:rPr>
          <w:sz w:val="22"/>
          <w:szCs w:val="22"/>
        </w:rPr>
        <w:t xml:space="preserve">asumida </w:t>
      </w:r>
      <w:r w:rsidR="00B47BEB">
        <w:rPr>
          <w:sz w:val="22"/>
          <w:szCs w:val="22"/>
        </w:rPr>
        <w:t>por el órgano de contratación. Cita en apoyo de su tesis diversas resoluciones de tribunales administrativos de recursos contractuales.</w:t>
      </w:r>
    </w:p>
    <w:p w14:paraId="1C3FA420" w14:textId="77777777" w:rsidR="00B31F05" w:rsidRDefault="00B31F05" w:rsidP="002B638E">
      <w:pPr>
        <w:jc w:val="both"/>
        <w:rPr>
          <w:sz w:val="22"/>
          <w:szCs w:val="22"/>
        </w:rPr>
      </w:pPr>
    </w:p>
    <w:p w14:paraId="349CC854" w14:textId="7A384348" w:rsidR="00FA482C" w:rsidRDefault="00317EC4" w:rsidP="002B638E">
      <w:pPr>
        <w:jc w:val="both"/>
        <w:rPr>
          <w:sz w:val="22"/>
          <w:szCs w:val="22"/>
        </w:rPr>
      </w:pPr>
      <w:r>
        <w:rPr>
          <w:sz w:val="22"/>
          <w:szCs w:val="22"/>
        </w:rPr>
        <w:lastRenderedPageBreak/>
        <w:t>Más concretamente, l</w:t>
      </w:r>
      <w:r w:rsidR="00FA482C">
        <w:rPr>
          <w:sz w:val="22"/>
          <w:szCs w:val="22"/>
        </w:rPr>
        <w:t xml:space="preserve">a recurrente </w:t>
      </w:r>
      <w:r>
        <w:rPr>
          <w:sz w:val="22"/>
          <w:szCs w:val="22"/>
        </w:rPr>
        <w:t>entiende</w:t>
      </w:r>
      <w:r w:rsidR="00B31F05">
        <w:rPr>
          <w:sz w:val="22"/>
          <w:szCs w:val="22"/>
        </w:rPr>
        <w:t xml:space="preserve"> q</w:t>
      </w:r>
      <w:r w:rsidR="003A1E2A">
        <w:rPr>
          <w:sz w:val="22"/>
          <w:szCs w:val="22"/>
        </w:rPr>
        <w:t>ue</w:t>
      </w:r>
      <w:r w:rsidR="00FA482C">
        <w:rPr>
          <w:sz w:val="22"/>
          <w:szCs w:val="22"/>
        </w:rPr>
        <w:t xml:space="preserve"> </w:t>
      </w:r>
      <w:r w:rsidR="00572953">
        <w:rPr>
          <w:sz w:val="22"/>
          <w:szCs w:val="22"/>
        </w:rPr>
        <w:t xml:space="preserve">la adjudicataria ha </w:t>
      </w:r>
      <w:r w:rsidR="00B31F05">
        <w:rPr>
          <w:sz w:val="22"/>
          <w:szCs w:val="22"/>
        </w:rPr>
        <w:t>introducido</w:t>
      </w:r>
      <w:r w:rsidR="00572953">
        <w:rPr>
          <w:sz w:val="22"/>
          <w:szCs w:val="22"/>
        </w:rPr>
        <w:t xml:space="preserve"> en el sobre B</w:t>
      </w:r>
      <w:r w:rsidR="003A1E2A">
        <w:rPr>
          <w:sz w:val="22"/>
          <w:szCs w:val="22"/>
        </w:rPr>
        <w:t>, en referencia a la disponibilidad de un servicio de valoración de riesgos psicosociales con perspectiva de género, tanto para las personas usuarias como para los profesionales (criterio previsto para su evaluación mediante juicio de valor en el punto M.5 del cuadro de características),</w:t>
      </w:r>
      <w:r w:rsidR="00572953">
        <w:rPr>
          <w:sz w:val="22"/>
          <w:szCs w:val="22"/>
        </w:rPr>
        <w:t xml:space="preserve"> un análisis de los rie</w:t>
      </w:r>
      <w:r w:rsidR="003A1E2A">
        <w:rPr>
          <w:sz w:val="22"/>
          <w:szCs w:val="22"/>
        </w:rPr>
        <w:t xml:space="preserve">sgos laborales de sus empleados, lo cual incluye, a su modo de ver, los vinculados </w:t>
      </w:r>
      <w:r w:rsidR="00856CF2">
        <w:rPr>
          <w:sz w:val="22"/>
          <w:szCs w:val="22"/>
        </w:rPr>
        <w:t>al criterio de adjudicación previsto en el</w:t>
      </w:r>
      <w:r w:rsidR="00FA482C">
        <w:rPr>
          <w:sz w:val="22"/>
          <w:szCs w:val="22"/>
        </w:rPr>
        <w:t xml:space="preserve"> punto M.3 del cuadro de características</w:t>
      </w:r>
      <w:r w:rsidR="001C58E3">
        <w:rPr>
          <w:sz w:val="22"/>
          <w:szCs w:val="22"/>
        </w:rPr>
        <w:t>, relativo, según lo expuesto, a riesgos en domicilio y asesoramiento para adaptaciones básicas necesarias</w:t>
      </w:r>
      <w:r w:rsidR="00744D9B">
        <w:rPr>
          <w:sz w:val="22"/>
          <w:szCs w:val="22"/>
        </w:rPr>
        <w:t>.</w:t>
      </w:r>
    </w:p>
    <w:p w14:paraId="5F5284D4" w14:textId="1DED5DC6" w:rsidR="00B47BEB" w:rsidRDefault="00B47BEB" w:rsidP="002B638E">
      <w:pPr>
        <w:jc w:val="both"/>
        <w:rPr>
          <w:sz w:val="22"/>
          <w:szCs w:val="22"/>
        </w:rPr>
      </w:pPr>
    </w:p>
    <w:p w14:paraId="36334315" w14:textId="04841173" w:rsidR="00E36CF4" w:rsidRDefault="00E36CF4" w:rsidP="002B638E">
      <w:pPr>
        <w:jc w:val="both"/>
        <w:rPr>
          <w:sz w:val="22"/>
          <w:szCs w:val="22"/>
        </w:rPr>
      </w:pPr>
      <w:r>
        <w:rPr>
          <w:sz w:val="22"/>
          <w:szCs w:val="22"/>
        </w:rPr>
        <w:t xml:space="preserve">En relación con el segundo punto, </w:t>
      </w:r>
      <w:r w:rsidR="00E972CD">
        <w:rPr>
          <w:sz w:val="22"/>
          <w:szCs w:val="22"/>
        </w:rPr>
        <w:t>la recurrente cuestiona la valoración subjetiva efectuada por la mesa y el órgano de contratación del criterio “Disponibilidad, idoneidad y compromiso de entrega a todo el personal de atención directa de dosieres prácticos para la intervención en situaciones con especial dificultad”</w:t>
      </w:r>
      <w:r w:rsidR="001C2C70">
        <w:rPr>
          <w:sz w:val="22"/>
          <w:szCs w:val="22"/>
        </w:rPr>
        <w:t xml:space="preserve"> </w:t>
      </w:r>
      <w:r w:rsidR="00856CF2">
        <w:rPr>
          <w:sz w:val="22"/>
          <w:szCs w:val="22"/>
        </w:rPr>
        <w:t xml:space="preserve">(punto M) 6 del cuadro de características) </w:t>
      </w:r>
      <w:r w:rsidR="001C2C70">
        <w:rPr>
          <w:sz w:val="22"/>
          <w:szCs w:val="22"/>
        </w:rPr>
        <w:t>en lo que respecta a las ofertas presentadas por SACYR SOCIAL, S.L. y ZAINTZEN, S.A.</w:t>
      </w:r>
    </w:p>
    <w:p w14:paraId="11BE5A6E" w14:textId="4E9FE33C" w:rsidR="00E972CD" w:rsidRDefault="00E972CD" w:rsidP="002B638E">
      <w:pPr>
        <w:jc w:val="both"/>
        <w:rPr>
          <w:sz w:val="22"/>
          <w:szCs w:val="22"/>
        </w:rPr>
      </w:pPr>
    </w:p>
    <w:p w14:paraId="66DD5441" w14:textId="202D3DF0" w:rsidR="00E972CD" w:rsidRDefault="00E972CD" w:rsidP="002B638E">
      <w:pPr>
        <w:jc w:val="both"/>
        <w:rPr>
          <w:sz w:val="22"/>
          <w:szCs w:val="22"/>
        </w:rPr>
      </w:pPr>
      <w:r>
        <w:rPr>
          <w:sz w:val="22"/>
          <w:szCs w:val="22"/>
        </w:rPr>
        <w:t>Entiende en relación con este criterio que los pliegos requerían la entrega de cinco dosieres sobre distintas materias, otorgándose 3 puntos por dosier a aquellos que incluyeran indicaciones específicas y diferenciadas para la atención desde el servicio de ayuda a domicilio a personas pertenecientes al colectivo de que se trate y 0 puntos a aquellos que solamente contemplen aspectos genéricos u otros específicos, pero no adecuados a los contenidos del SAD.</w:t>
      </w:r>
    </w:p>
    <w:p w14:paraId="02ADF490" w14:textId="668BD9A7" w:rsidR="00A96547" w:rsidRDefault="00A96547" w:rsidP="002B638E">
      <w:pPr>
        <w:jc w:val="both"/>
        <w:rPr>
          <w:sz w:val="22"/>
          <w:szCs w:val="22"/>
        </w:rPr>
      </w:pPr>
    </w:p>
    <w:p w14:paraId="1E29D55B" w14:textId="625C7102" w:rsidR="00A96547" w:rsidRDefault="00A96547" w:rsidP="002B638E">
      <w:pPr>
        <w:jc w:val="both"/>
        <w:rPr>
          <w:sz w:val="22"/>
          <w:szCs w:val="22"/>
        </w:rPr>
      </w:pPr>
      <w:r>
        <w:rPr>
          <w:sz w:val="22"/>
          <w:szCs w:val="22"/>
        </w:rPr>
        <w:t xml:space="preserve">Considera que, según el informe de valoración, los dosieres presentados por la empresa adjudicataria incluyeron principios orientadores e indicaciones generales que impedían, en aplicación de las normas de valoración contenidas en el cuadro de características, que dicha licitadora pudiera obtener la máxima puntuación. Solicita, en consecuencia, que este órgano declare que la valoración total de este criterio en ningún caso puede ser la máxima (15 puntos, </w:t>
      </w:r>
      <w:r w:rsidR="00856CF2">
        <w:rPr>
          <w:sz w:val="22"/>
          <w:szCs w:val="22"/>
        </w:rPr>
        <w:t xml:space="preserve">a razón de </w:t>
      </w:r>
      <w:r>
        <w:rPr>
          <w:sz w:val="22"/>
          <w:szCs w:val="22"/>
        </w:rPr>
        <w:t>3 puntos por dosier), sino que no podría en ningún caso exceder de 7 puntos.</w:t>
      </w:r>
    </w:p>
    <w:p w14:paraId="67845900" w14:textId="5B573AFA" w:rsidR="00A96547" w:rsidRDefault="00A96547" w:rsidP="002B638E">
      <w:pPr>
        <w:jc w:val="both"/>
        <w:rPr>
          <w:sz w:val="22"/>
          <w:szCs w:val="22"/>
        </w:rPr>
      </w:pPr>
    </w:p>
    <w:p w14:paraId="3C7E6AD4" w14:textId="4982D814" w:rsidR="00A96547" w:rsidRDefault="00DF6A52" w:rsidP="002B638E">
      <w:pPr>
        <w:jc w:val="both"/>
        <w:rPr>
          <w:sz w:val="22"/>
          <w:szCs w:val="22"/>
        </w:rPr>
      </w:pPr>
      <w:r>
        <w:rPr>
          <w:sz w:val="22"/>
          <w:szCs w:val="22"/>
        </w:rPr>
        <w:t>Esta última solicitud est</w:t>
      </w:r>
      <w:r w:rsidR="00856CF2">
        <w:rPr>
          <w:sz w:val="22"/>
          <w:szCs w:val="22"/>
        </w:rPr>
        <w:t>á</w:t>
      </w:r>
      <w:r>
        <w:rPr>
          <w:sz w:val="22"/>
          <w:szCs w:val="22"/>
        </w:rPr>
        <w:t xml:space="preserve"> supeditada, finalmente, a una interpretación de los pliegos que procede en derecho, según la recurrente: que la puntuación de cada uno de los dosieres no haya de ser, alternativamente la máxima (3 puntos) o la mínima (0 puntos), sino que se admitan puntuaciones intermedias. De lo contrario, añade el escrito de interposición, no podría considerarse el criterio que se viene examinando evaluable por juicio de valor, sino mediante fórmulas, lo que sería, </w:t>
      </w:r>
      <w:r w:rsidR="00856CF2">
        <w:rPr>
          <w:sz w:val="22"/>
          <w:szCs w:val="22"/>
        </w:rPr>
        <w:t>expone</w:t>
      </w:r>
      <w:r>
        <w:rPr>
          <w:sz w:val="22"/>
          <w:szCs w:val="22"/>
        </w:rPr>
        <w:t>, contrario a derecho.</w:t>
      </w:r>
    </w:p>
    <w:p w14:paraId="2C38E09E" w14:textId="77777777" w:rsidR="00871AA1" w:rsidRDefault="00871AA1" w:rsidP="00871AA1">
      <w:pPr>
        <w:jc w:val="both"/>
        <w:rPr>
          <w:sz w:val="22"/>
          <w:szCs w:val="22"/>
        </w:rPr>
      </w:pPr>
    </w:p>
    <w:p w14:paraId="0D73D561" w14:textId="49376281" w:rsidR="00970D91" w:rsidRDefault="00871AA1" w:rsidP="00871AA1">
      <w:pPr>
        <w:jc w:val="both"/>
        <w:rPr>
          <w:sz w:val="22"/>
          <w:szCs w:val="22"/>
        </w:rPr>
      </w:pPr>
      <w:r w:rsidRPr="0072297F">
        <w:rPr>
          <w:b/>
          <w:bCs/>
          <w:sz w:val="22"/>
          <w:szCs w:val="22"/>
        </w:rPr>
        <w:t>SEXTO.</w:t>
      </w:r>
      <w:r>
        <w:rPr>
          <w:b/>
          <w:bCs/>
          <w:sz w:val="22"/>
          <w:szCs w:val="22"/>
        </w:rPr>
        <w:t xml:space="preserve">– </w:t>
      </w:r>
      <w:r w:rsidR="00B47BEB">
        <w:rPr>
          <w:sz w:val="22"/>
          <w:szCs w:val="22"/>
        </w:rPr>
        <w:t>En relación con la</w:t>
      </w:r>
      <w:r w:rsidR="00317EC4">
        <w:rPr>
          <w:sz w:val="22"/>
          <w:szCs w:val="22"/>
        </w:rPr>
        <w:t xml:space="preserve"> pretendida</w:t>
      </w:r>
      <w:r w:rsidR="00B47BEB">
        <w:rPr>
          <w:sz w:val="22"/>
          <w:szCs w:val="22"/>
        </w:rPr>
        <w:t xml:space="preserve"> exclusión de la oferta de la adjudicataria, el informe del Área de Contratación y Régimen Jurídico del IFBS</w:t>
      </w:r>
      <w:r w:rsidR="002C3784">
        <w:rPr>
          <w:sz w:val="22"/>
          <w:szCs w:val="22"/>
        </w:rPr>
        <w:t xml:space="preserve"> de 3 de octubre de 2023</w:t>
      </w:r>
      <w:r w:rsidR="00B47BEB">
        <w:rPr>
          <w:sz w:val="22"/>
          <w:szCs w:val="22"/>
        </w:rPr>
        <w:t xml:space="preserve"> sostiene </w:t>
      </w:r>
      <w:r w:rsidR="00B00E87">
        <w:rPr>
          <w:sz w:val="22"/>
          <w:szCs w:val="22"/>
        </w:rPr>
        <w:t xml:space="preserve">que el cuadro de características establece, por un lado y como criterio a </w:t>
      </w:r>
      <w:r w:rsidR="004068A5">
        <w:rPr>
          <w:sz w:val="22"/>
          <w:szCs w:val="22"/>
        </w:rPr>
        <w:t>evaluar</w:t>
      </w:r>
      <w:r w:rsidR="00B00E87">
        <w:rPr>
          <w:sz w:val="22"/>
          <w:szCs w:val="22"/>
        </w:rPr>
        <w:t xml:space="preserve"> no mediante fórmulas, la disponibilidad de un servicio de valoración de riesgos psicosociales con perspectiva de género y, por otro lado y como criterio a </w:t>
      </w:r>
      <w:r w:rsidR="004068A5">
        <w:rPr>
          <w:sz w:val="22"/>
          <w:szCs w:val="22"/>
        </w:rPr>
        <w:t>apreciar</w:t>
      </w:r>
      <w:r w:rsidR="00B00E87">
        <w:rPr>
          <w:sz w:val="22"/>
          <w:szCs w:val="22"/>
        </w:rPr>
        <w:t xml:space="preserve"> mediante fórmulas, la disponibilidad de un servicio de valoración de riesgos en domicilio y asesoramiento para adaptaciones básicas necesarias</w:t>
      </w:r>
      <w:r w:rsidR="00970D91">
        <w:rPr>
          <w:sz w:val="22"/>
          <w:szCs w:val="22"/>
        </w:rPr>
        <w:t>, añadiendo que éste último no se refiere a riesgos laborales, como pretende la contratista, sino a riesgos para las personas usuarias y para la prestación del servicio, de donde concluye la procedencia de desestimar la pretensión de la recurrente en relación con este punto.</w:t>
      </w:r>
    </w:p>
    <w:p w14:paraId="54DF9857" w14:textId="7E289645" w:rsidR="00416709" w:rsidRDefault="00416709" w:rsidP="00871AA1">
      <w:pPr>
        <w:jc w:val="both"/>
        <w:rPr>
          <w:sz w:val="22"/>
          <w:szCs w:val="22"/>
        </w:rPr>
      </w:pPr>
    </w:p>
    <w:p w14:paraId="7619C8D4" w14:textId="1296A50D" w:rsidR="00416709" w:rsidRDefault="00416709" w:rsidP="00871AA1">
      <w:pPr>
        <w:jc w:val="both"/>
        <w:rPr>
          <w:sz w:val="22"/>
          <w:szCs w:val="22"/>
        </w:rPr>
      </w:pPr>
      <w:r>
        <w:rPr>
          <w:sz w:val="22"/>
          <w:szCs w:val="22"/>
        </w:rPr>
        <w:t xml:space="preserve">En relación con este mismo punto, SACYR SOCIAL S.L. sostiene en su escrito de alegaciones que la calificación como “riesgos laborales” de los “riesgos psicosociales” objeto del sistema que integra el criterio de valoración no mediante fórmulas </w:t>
      </w:r>
      <w:r w:rsidR="009D4AC8">
        <w:rPr>
          <w:sz w:val="22"/>
          <w:szCs w:val="22"/>
        </w:rPr>
        <w:t xml:space="preserve">no pasa de ser una contextualización de los riesgos psicosociales </w:t>
      </w:r>
      <w:r w:rsidR="00856CF2">
        <w:rPr>
          <w:sz w:val="22"/>
          <w:szCs w:val="22"/>
        </w:rPr>
        <w:t>mencionados</w:t>
      </w:r>
      <w:r w:rsidR="009D4AC8">
        <w:rPr>
          <w:sz w:val="22"/>
          <w:szCs w:val="22"/>
        </w:rPr>
        <w:t xml:space="preserve"> y no alude en ningún caso a la información relativa a la valoración de los riesgos laborales en los domicilios para las personas empleadas por la </w:t>
      </w:r>
      <w:r w:rsidR="009D4AC8">
        <w:rPr>
          <w:sz w:val="22"/>
          <w:szCs w:val="22"/>
        </w:rPr>
        <w:lastRenderedPageBreak/>
        <w:t>contratista, por lo que no guarda relación alguna con la información a evaluar mediante fórmulas, relativa</w:t>
      </w:r>
      <w:r w:rsidR="00856CF2">
        <w:rPr>
          <w:sz w:val="22"/>
          <w:szCs w:val="22"/>
        </w:rPr>
        <w:t>,</w:t>
      </w:r>
      <w:r w:rsidR="009D4AC8">
        <w:rPr>
          <w:sz w:val="22"/>
          <w:szCs w:val="22"/>
        </w:rPr>
        <w:t xml:space="preserve"> por lo demás</w:t>
      </w:r>
      <w:r w:rsidR="00856CF2">
        <w:rPr>
          <w:sz w:val="22"/>
          <w:szCs w:val="22"/>
        </w:rPr>
        <w:t>,</w:t>
      </w:r>
      <w:r w:rsidR="009D4AC8">
        <w:rPr>
          <w:sz w:val="22"/>
          <w:szCs w:val="22"/>
        </w:rPr>
        <w:t xml:space="preserve"> a riesgos para las personas usuarias y para la prestación del servicio.</w:t>
      </w:r>
    </w:p>
    <w:p w14:paraId="41BE0143" w14:textId="314341C8" w:rsidR="007D0714" w:rsidRDefault="007D0714" w:rsidP="00871AA1">
      <w:pPr>
        <w:jc w:val="both"/>
        <w:rPr>
          <w:sz w:val="22"/>
          <w:szCs w:val="22"/>
        </w:rPr>
      </w:pPr>
    </w:p>
    <w:p w14:paraId="7C3F5258" w14:textId="29ACBFC9" w:rsidR="007D0714" w:rsidRDefault="00EF6A1E" w:rsidP="00871AA1">
      <w:pPr>
        <w:jc w:val="both"/>
        <w:rPr>
          <w:sz w:val="22"/>
          <w:szCs w:val="22"/>
        </w:rPr>
      </w:pPr>
      <w:r>
        <w:rPr>
          <w:sz w:val="22"/>
          <w:szCs w:val="22"/>
        </w:rPr>
        <w:t>En relación con la segunda cuestión planteada en el escrito de recurso especial, la valoración del criterio “Disponibilidad, idoneidad y compromiso de entrega a todo el personal de atención directa de dosieres prácticos para la intervención en situaciones con especial dificultad”, objeto de valoración subjetiva, el informe del Área de Contratación y Régimen Jurídico del IFBS</w:t>
      </w:r>
      <w:r w:rsidR="00716203">
        <w:rPr>
          <w:sz w:val="22"/>
          <w:szCs w:val="22"/>
        </w:rPr>
        <w:t>, de 3 de octubre de 2023, examina detalladamente lo establecido en el cuadro de características del contrato y en el informe de valoración del Área de Intervención Social del mismo Instituto, de 13 de julio de 2023, asumido por la mesa de contrat</w:t>
      </w:r>
      <w:r w:rsidR="009777B4">
        <w:rPr>
          <w:sz w:val="22"/>
          <w:szCs w:val="22"/>
        </w:rPr>
        <w:t>a</w:t>
      </w:r>
      <w:r w:rsidR="00716203">
        <w:rPr>
          <w:sz w:val="22"/>
          <w:szCs w:val="22"/>
        </w:rPr>
        <w:t>ción,</w:t>
      </w:r>
      <w:r w:rsidR="009777B4">
        <w:rPr>
          <w:sz w:val="22"/>
          <w:szCs w:val="22"/>
        </w:rPr>
        <w:t xml:space="preserve"> considerando, en primer lugar, que los dosieres contenidos en las cuestionadas ofertas de las licitadoras SACYR SOCIAL S.L. y ZAINTZEN, S.A. incluyeron pautas preventivas específicas y concretas de atención desde profesionales del SAD, adecuadas y ajustadas a lo previsto en los pliegos. En segundo lugar, el informe del Área de Contratación considera que las consideraciones sobre el método de asignación</w:t>
      </w:r>
      <w:r w:rsidR="001D68D5">
        <w:rPr>
          <w:sz w:val="22"/>
          <w:szCs w:val="22"/>
        </w:rPr>
        <w:t xml:space="preserve"> de puntos en relación con el criterio que se viene comentando supone una inadmisible por extemporánea impugnación indirecta del cuadro de características.</w:t>
      </w:r>
    </w:p>
    <w:p w14:paraId="63464FDE" w14:textId="1B72ED4A" w:rsidR="001D68D5" w:rsidRDefault="001D68D5" w:rsidP="00871AA1">
      <w:pPr>
        <w:jc w:val="both"/>
        <w:rPr>
          <w:sz w:val="22"/>
          <w:szCs w:val="22"/>
        </w:rPr>
      </w:pPr>
    </w:p>
    <w:p w14:paraId="2305EA1B" w14:textId="3ECAB289" w:rsidR="001D68D5" w:rsidRDefault="001D68D5" w:rsidP="00871AA1">
      <w:pPr>
        <w:jc w:val="both"/>
        <w:rPr>
          <w:sz w:val="22"/>
          <w:szCs w:val="22"/>
        </w:rPr>
      </w:pPr>
      <w:r>
        <w:rPr>
          <w:sz w:val="22"/>
          <w:szCs w:val="22"/>
        </w:rPr>
        <w:t xml:space="preserve">Las alegaciones de las empresas interesadas, SACYR SOCIAL S.L. y ZAINTZEN, S.A., </w:t>
      </w:r>
      <w:r w:rsidR="00AA4E53">
        <w:rPr>
          <w:sz w:val="22"/>
          <w:szCs w:val="22"/>
        </w:rPr>
        <w:t>añaden que las alegaciones de la recurrente son insuficientes para desvirtuar la discrecionalidad técnica que debe reconocerse a la valoración administrativa de las ofertas.</w:t>
      </w:r>
    </w:p>
    <w:p w14:paraId="4E6C39BC" w14:textId="77777777" w:rsidR="00871AA1" w:rsidRDefault="00871AA1" w:rsidP="00871AA1">
      <w:pPr>
        <w:jc w:val="both"/>
        <w:rPr>
          <w:sz w:val="22"/>
          <w:szCs w:val="22"/>
        </w:rPr>
      </w:pPr>
    </w:p>
    <w:p w14:paraId="7607A25B" w14:textId="09739849" w:rsidR="00E32D3D" w:rsidRDefault="0091039F" w:rsidP="00871AA1">
      <w:pPr>
        <w:jc w:val="both"/>
        <w:rPr>
          <w:bCs/>
          <w:sz w:val="22"/>
          <w:szCs w:val="22"/>
        </w:rPr>
      </w:pPr>
      <w:proofErr w:type="gramStart"/>
      <w:r>
        <w:rPr>
          <w:b/>
          <w:sz w:val="22"/>
          <w:szCs w:val="22"/>
        </w:rPr>
        <w:t>S</w:t>
      </w:r>
      <w:r w:rsidR="00E6665E">
        <w:rPr>
          <w:b/>
          <w:sz w:val="22"/>
          <w:szCs w:val="22"/>
        </w:rPr>
        <w:t>É</w:t>
      </w:r>
      <w:r>
        <w:rPr>
          <w:b/>
          <w:sz w:val="22"/>
          <w:szCs w:val="22"/>
        </w:rPr>
        <w:t>PTIMO</w:t>
      </w:r>
      <w:r w:rsidR="00871AA1" w:rsidRPr="0072297F">
        <w:rPr>
          <w:b/>
          <w:sz w:val="22"/>
          <w:szCs w:val="22"/>
        </w:rPr>
        <w:t>.–</w:t>
      </w:r>
      <w:proofErr w:type="gramEnd"/>
      <w:r w:rsidR="00E32D3D">
        <w:rPr>
          <w:b/>
          <w:sz w:val="22"/>
          <w:szCs w:val="22"/>
        </w:rPr>
        <w:t xml:space="preserve"> </w:t>
      </w:r>
      <w:r w:rsidR="00E32D3D" w:rsidRPr="00E32D3D">
        <w:rPr>
          <w:bCs/>
          <w:sz w:val="22"/>
          <w:szCs w:val="22"/>
        </w:rPr>
        <w:t>E</w:t>
      </w:r>
      <w:r w:rsidR="0004618C">
        <w:rPr>
          <w:bCs/>
          <w:sz w:val="22"/>
          <w:szCs w:val="22"/>
        </w:rPr>
        <w:t>n relación con</w:t>
      </w:r>
      <w:r w:rsidR="00E32D3D" w:rsidRPr="00E32D3D">
        <w:rPr>
          <w:bCs/>
          <w:sz w:val="22"/>
          <w:szCs w:val="22"/>
        </w:rPr>
        <w:t xml:space="preserve"> la pretensión de exclusión de la empresa adjudicataria, </w:t>
      </w:r>
      <w:r w:rsidR="000E70E5">
        <w:rPr>
          <w:bCs/>
          <w:sz w:val="22"/>
          <w:szCs w:val="22"/>
        </w:rPr>
        <w:t xml:space="preserve">debemos partir del </w:t>
      </w:r>
      <w:r w:rsidR="0004618C">
        <w:rPr>
          <w:bCs/>
          <w:sz w:val="22"/>
          <w:szCs w:val="22"/>
        </w:rPr>
        <w:t>cuadro de características del contrato que, en relación con est</w:t>
      </w:r>
      <w:r w:rsidR="00856CF2">
        <w:rPr>
          <w:bCs/>
          <w:sz w:val="22"/>
          <w:szCs w:val="22"/>
        </w:rPr>
        <w:t>a cuestión</w:t>
      </w:r>
      <w:r w:rsidR="0004618C">
        <w:rPr>
          <w:bCs/>
          <w:sz w:val="22"/>
          <w:szCs w:val="22"/>
        </w:rPr>
        <w:t xml:space="preserve">, </w:t>
      </w:r>
      <w:r w:rsidR="00E32D3D" w:rsidRPr="00E32D3D">
        <w:rPr>
          <w:bCs/>
          <w:sz w:val="22"/>
          <w:szCs w:val="22"/>
        </w:rPr>
        <w:t>establece lo siguiente</w:t>
      </w:r>
      <w:r w:rsidR="002757DF">
        <w:rPr>
          <w:bCs/>
          <w:sz w:val="22"/>
          <w:szCs w:val="22"/>
        </w:rPr>
        <w:t xml:space="preserve"> en su punto “M) Criterios de adjudicación y aspectos susceptibles de negociación”</w:t>
      </w:r>
      <w:r w:rsidR="00E32D3D" w:rsidRPr="00E32D3D">
        <w:rPr>
          <w:bCs/>
          <w:sz w:val="22"/>
          <w:szCs w:val="22"/>
        </w:rPr>
        <w:t>:</w:t>
      </w:r>
    </w:p>
    <w:p w14:paraId="1EAC2D1B" w14:textId="4E4B2433" w:rsidR="002757DF" w:rsidRDefault="002757DF" w:rsidP="00871AA1">
      <w:pPr>
        <w:jc w:val="both"/>
        <w:rPr>
          <w:bCs/>
          <w:sz w:val="22"/>
          <w:szCs w:val="22"/>
        </w:rPr>
      </w:pPr>
    </w:p>
    <w:p w14:paraId="04A1DC58" w14:textId="77777777" w:rsidR="00856CF2" w:rsidRPr="00856CF2" w:rsidRDefault="002757DF" w:rsidP="002757DF">
      <w:pPr>
        <w:pStyle w:val="Prrafodelista"/>
        <w:numPr>
          <w:ilvl w:val="0"/>
          <w:numId w:val="2"/>
        </w:numPr>
        <w:jc w:val="both"/>
        <w:rPr>
          <w:sz w:val="22"/>
          <w:szCs w:val="22"/>
        </w:rPr>
      </w:pPr>
      <w:r w:rsidRPr="002757DF">
        <w:rPr>
          <w:bCs/>
          <w:sz w:val="22"/>
          <w:szCs w:val="22"/>
        </w:rPr>
        <w:t>“Evaluables mediante fórmulas</w:t>
      </w:r>
      <w:r w:rsidR="00856CF2">
        <w:rPr>
          <w:bCs/>
          <w:sz w:val="22"/>
          <w:szCs w:val="22"/>
        </w:rPr>
        <w:t>:</w:t>
      </w:r>
    </w:p>
    <w:p w14:paraId="11433F64" w14:textId="77777777" w:rsidR="00856CF2" w:rsidRDefault="00856CF2" w:rsidP="00856CF2">
      <w:pPr>
        <w:pStyle w:val="Prrafodelista"/>
        <w:jc w:val="both"/>
        <w:rPr>
          <w:bCs/>
          <w:sz w:val="22"/>
          <w:szCs w:val="22"/>
        </w:rPr>
      </w:pPr>
    </w:p>
    <w:p w14:paraId="18EB1525" w14:textId="1F1F390A" w:rsidR="002757DF" w:rsidRDefault="002757DF" w:rsidP="00856CF2">
      <w:pPr>
        <w:pStyle w:val="Prrafodelista"/>
        <w:jc w:val="both"/>
        <w:rPr>
          <w:sz w:val="22"/>
          <w:szCs w:val="22"/>
        </w:rPr>
      </w:pPr>
      <w:r w:rsidRPr="002757DF">
        <w:rPr>
          <w:sz w:val="22"/>
          <w:szCs w:val="22"/>
        </w:rPr>
        <w:t xml:space="preserve">3.- Disponibilidad de un servicio de valoración de </w:t>
      </w:r>
      <w:r w:rsidRPr="00496E48">
        <w:rPr>
          <w:sz w:val="22"/>
          <w:szCs w:val="22"/>
          <w:u w:val="single"/>
        </w:rPr>
        <w:t>riesgos en domicilio</w:t>
      </w:r>
      <w:r w:rsidRPr="002757DF">
        <w:rPr>
          <w:sz w:val="22"/>
          <w:szCs w:val="22"/>
        </w:rPr>
        <w:t xml:space="preserve"> y asesoramiento para adaptaciones básicas necesarias</w:t>
      </w:r>
      <w:proofErr w:type="gramStart"/>
      <w:r w:rsidRPr="002757DF">
        <w:rPr>
          <w:sz w:val="22"/>
          <w:szCs w:val="22"/>
        </w:rPr>
        <w:t>”.</w:t>
      </w:r>
      <w:r w:rsidR="00F651A0">
        <w:rPr>
          <w:sz w:val="22"/>
          <w:szCs w:val="22"/>
        </w:rPr>
        <w:t>(</w:t>
      </w:r>
      <w:proofErr w:type="gramEnd"/>
      <w:r w:rsidR="00F651A0">
        <w:rPr>
          <w:sz w:val="22"/>
          <w:szCs w:val="22"/>
        </w:rPr>
        <w:t>…)</w:t>
      </w:r>
      <w:r w:rsidRPr="002757DF">
        <w:rPr>
          <w:sz w:val="22"/>
          <w:szCs w:val="22"/>
        </w:rPr>
        <w:t xml:space="preserve"> “La obtención de puntuación en este criterio implica el compromiso de que en cada caso a valorar, el personal de este servicio, deberá personarse en el domicilio y asesorar sobre aquellos aspectos que se observe que pudieran suponer un </w:t>
      </w:r>
      <w:r w:rsidRPr="00496E48">
        <w:rPr>
          <w:sz w:val="22"/>
          <w:szCs w:val="22"/>
          <w:u w:val="single"/>
        </w:rPr>
        <w:t>riesgo para las personas atendidas</w:t>
      </w:r>
      <w:r w:rsidRPr="002757DF">
        <w:rPr>
          <w:sz w:val="22"/>
          <w:szCs w:val="22"/>
        </w:rPr>
        <w:t xml:space="preserve">, o </w:t>
      </w:r>
      <w:r w:rsidRPr="00496E48">
        <w:rPr>
          <w:sz w:val="22"/>
          <w:szCs w:val="22"/>
          <w:u w:val="single"/>
        </w:rPr>
        <w:t>para la prestación del servicio</w:t>
      </w:r>
      <w:r w:rsidRPr="002757DF">
        <w:rPr>
          <w:sz w:val="22"/>
          <w:szCs w:val="22"/>
        </w:rPr>
        <w:t>, a fin de poder mejorarlos/adaptarlos”.</w:t>
      </w:r>
    </w:p>
    <w:p w14:paraId="381CCC11" w14:textId="77777777" w:rsidR="004B0F2F" w:rsidRDefault="004B0F2F" w:rsidP="004B0F2F">
      <w:pPr>
        <w:pStyle w:val="Prrafodelista"/>
        <w:jc w:val="both"/>
        <w:rPr>
          <w:sz w:val="22"/>
          <w:szCs w:val="22"/>
        </w:rPr>
      </w:pPr>
    </w:p>
    <w:p w14:paraId="1CA49D7C" w14:textId="77777777" w:rsidR="00856CF2" w:rsidRDefault="002757DF" w:rsidP="002757DF">
      <w:pPr>
        <w:pStyle w:val="Prrafodelista"/>
        <w:numPr>
          <w:ilvl w:val="0"/>
          <w:numId w:val="2"/>
        </w:numPr>
        <w:jc w:val="both"/>
        <w:rPr>
          <w:sz w:val="22"/>
          <w:szCs w:val="22"/>
        </w:rPr>
      </w:pPr>
      <w:r w:rsidRPr="004B0F2F">
        <w:rPr>
          <w:sz w:val="22"/>
          <w:szCs w:val="22"/>
        </w:rPr>
        <w:t>“</w:t>
      </w:r>
      <w:r w:rsidR="004B0F2F" w:rsidRPr="004B0F2F">
        <w:rPr>
          <w:sz w:val="22"/>
          <w:szCs w:val="22"/>
        </w:rPr>
        <w:t>No evaluables mediante fórmulas</w:t>
      </w:r>
      <w:r w:rsidR="00856CF2">
        <w:rPr>
          <w:sz w:val="22"/>
          <w:szCs w:val="22"/>
        </w:rPr>
        <w:t>:</w:t>
      </w:r>
    </w:p>
    <w:p w14:paraId="46DF9F1B" w14:textId="77777777" w:rsidR="00856CF2" w:rsidRDefault="00856CF2" w:rsidP="00856CF2">
      <w:pPr>
        <w:pStyle w:val="Prrafodelista"/>
        <w:jc w:val="both"/>
        <w:rPr>
          <w:sz w:val="22"/>
          <w:szCs w:val="22"/>
        </w:rPr>
      </w:pPr>
    </w:p>
    <w:p w14:paraId="68AE1D07" w14:textId="45F85834" w:rsidR="002757DF" w:rsidRPr="004B0F2F" w:rsidRDefault="004B0F2F" w:rsidP="00856CF2">
      <w:pPr>
        <w:pStyle w:val="Prrafodelista"/>
        <w:jc w:val="both"/>
        <w:rPr>
          <w:sz w:val="22"/>
          <w:szCs w:val="22"/>
        </w:rPr>
      </w:pPr>
      <w:r w:rsidRPr="004B0F2F">
        <w:rPr>
          <w:sz w:val="22"/>
          <w:szCs w:val="22"/>
        </w:rPr>
        <w:t xml:space="preserve">5.- Disponibilidad de un servicio de valoración de </w:t>
      </w:r>
      <w:r w:rsidRPr="00496E48">
        <w:rPr>
          <w:sz w:val="22"/>
          <w:szCs w:val="22"/>
          <w:u w:val="single"/>
        </w:rPr>
        <w:t>riesgos psicosociales con perspectiva de género</w:t>
      </w:r>
      <w:r w:rsidRPr="004B0F2F">
        <w:rPr>
          <w:sz w:val="22"/>
          <w:szCs w:val="22"/>
        </w:rPr>
        <w:t>, tanto para las personas usuarias como para los y las profesionales”.</w:t>
      </w:r>
      <w:r w:rsidR="00F651A0">
        <w:rPr>
          <w:sz w:val="22"/>
          <w:szCs w:val="22"/>
        </w:rPr>
        <w:t>(…)</w:t>
      </w:r>
      <w:r w:rsidRPr="004B0F2F">
        <w:rPr>
          <w:sz w:val="22"/>
          <w:szCs w:val="22"/>
        </w:rPr>
        <w:t xml:space="preserve"> “La presentación de oferta en este apartado implica necesariamente la presentación de un documento sobre los riesgos psicosociales de acoso sexual y por razón de género que pudieran producirse en el desempeño del servicio de ayuda a domicilio y que se tendrán en cuenta desde un servicio de valoración de la empresa, a fin de prevenir, o en su caso valorar y abordar, actuaciones acoso sexual y por razón de sexo </w:t>
      </w:r>
      <w:r w:rsidRPr="00496E48">
        <w:rPr>
          <w:sz w:val="22"/>
          <w:szCs w:val="22"/>
          <w:u w:val="single"/>
        </w:rPr>
        <w:t>de personas usuarias hacia trabajadoras/es del servicio</w:t>
      </w:r>
      <w:r w:rsidRPr="004B0F2F">
        <w:rPr>
          <w:sz w:val="22"/>
          <w:szCs w:val="22"/>
        </w:rPr>
        <w:t xml:space="preserve">, o </w:t>
      </w:r>
      <w:r w:rsidRPr="00496E48">
        <w:rPr>
          <w:sz w:val="22"/>
          <w:szCs w:val="22"/>
          <w:u w:val="single"/>
        </w:rPr>
        <w:t>a la inversa</w:t>
      </w:r>
      <w:r w:rsidRPr="004B0F2F">
        <w:rPr>
          <w:sz w:val="22"/>
          <w:szCs w:val="22"/>
        </w:rPr>
        <w:t xml:space="preserve">, o </w:t>
      </w:r>
      <w:r w:rsidRPr="00496E48">
        <w:rPr>
          <w:sz w:val="22"/>
          <w:szCs w:val="22"/>
          <w:u w:val="single"/>
        </w:rPr>
        <w:t>entre el propio personal trabajador</w:t>
      </w:r>
      <w:r w:rsidRPr="004B0F2F">
        <w:rPr>
          <w:sz w:val="22"/>
          <w:szCs w:val="22"/>
        </w:rPr>
        <w:t xml:space="preserve"> de la empresa. En dicho documento se deberán identificar diferentes situaciones que pudieran darse en el desempeño del servicio y que pudieran tratarse de acoso sexual, o acoso por razón de sexo. El documento deberá señalar estrategias concretas para la prevención o actuación ante estas situaciones. Se deberá entregar a cada trabajador/a”.</w:t>
      </w:r>
    </w:p>
    <w:p w14:paraId="6F38D621" w14:textId="77777777" w:rsidR="002757DF" w:rsidRPr="004B0F2F" w:rsidRDefault="002757DF" w:rsidP="00871AA1">
      <w:pPr>
        <w:jc w:val="both"/>
        <w:rPr>
          <w:sz w:val="22"/>
          <w:szCs w:val="22"/>
        </w:rPr>
      </w:pPr>
    </w:p>
    <w:p w14:paraId="3976EC98" w14:textId="6B8F2619" w:rsidR="004B0F2F" w:rsidRDefault="00146227" w:rsidP="0083795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Por otra parte, e</w:t>
      </w:r>
      <w:r w:rsidR="004B0F2F" w:rsidRPr="00837953">
        <w:rPr>
          <w:rFonts w:ascii="Times New Roman" w:hAnsi="Times New Roman" w:cs="Times New Roman"/>
          <w:bCs/>
          <w:color w:val="auto"/>
          <w:sz w:val="22"/>
          <w:szCs w:val="22"/>
        </w:rPr>
        <w:t>n el sobre B</w:t>
      </w:r>
      <w:r w:rsidR="005B3E34" w:rsidRPr="00837953">
        <w:rPr>
          <w:rFonts w:ascii="Times New Roman" w:hAnsi="Times New Roman" w:cs="Times New Roman"/>
          <w:bCs/>
          <w:color w:val="auto"/>
          <w:sz w:val="22"/>
          <w:szCs w:val="22"/>
        </w:rPr>
        <w:t>, destinado a la “documentación relativa a los criterios de adjudicación NO evaluables mediante fórmulas establecidos en el apartado M)”, SACYR SOCIAL, S.L. incluye el documento “COMPROMISO DE DISPONIBILIDAD DE UN SERVICIO DE VALORACIÓN DE RIESGOS PSICOSOCIALES"</w:t>
      </w:r>
      <w:r w:rsidR="003565DE" w:rsidRPr="00837953">
        <w:rPr>
          <w:rFonts w:ascii="Times New Roman" w:hAnsi="Times New Roman" w:cs="Times New Roman"/>
          <w:bCs/>
          <w:color w:val="auto"/>
          <w:sz w:val="22"/>
          <w:szCs w:val="22"/>
        </w:rPr>
        <w:t xml:space="preserve">, </w:t>
      </w:r>
      <w:r w:rsidR="00837953" w:rsidRPr="00837953">
        <w:rPr>
          <w:rFonts w:ascii="Times New Roman" w:hAnsi="Times New Roman" w:cs="Times New Roman"/>
          <w:bCs/>
          <w:color w:val="auto"/>
          <w:sz w:val="22"/>
          <w:szCs w:val="22"/>
        </w:rPr>
        <w:t xml:space="preserve">que </w:t>
      </w:r>
      <w:r w:rsidR="006170CA">
        <w:rPr>
          <w:rFonts w:ascii="Times New Roman" w:hAnsi="Times New Roman" w:cs="Times New Roman"/>
          <w:bCs/>
          <w:color w:val="auto"/>
          <w:sz w:val="22"/>
          <w:szCs w:val="22"/>
        </w:rPr>
        <w:t xml:space="preserve">se refiere en todo momento y que </w:t>
      </w:r>
      <w:r>
        <w:rPr>
          <w:rFonts w:ascii="Times New Roman" w:hAnsi="Times New Roman" w:cs="Times New Roman"/>
          <w:bCs/>
          <w:color w:val="auto"/>
          <w:sz w:val="22"/>
          <w:szCs w:val="22"/>
        </w:rPr>
        <w:t xml:space="preserve">expone detalladamente lo relativo a este servicio, </w:t>
      </w:r>
      <w:r w:rsidR="006170CA">
        <w:rPr>
          <w:rFonts w:ascii="Times New Roman" w:hAnsi="Times New Roman" w:cs="Times New Roman"/>
          <w:bCs/>
          <w:color w:val="auto"/>
          <w:sz w:val="22"/>
          <w:szCs w:val="22"/>
        </w:rPr>
        <w:t>enmarcándolo</w:t>
      </w:r>
      <w:r w:rsidR="000E70E5">
        <w:rPr>
          <w:rFonts w:ascii="Times New Roman" w:hAnsi="Times New Roman" w:cs="Times New Roman"/>
          <w:bCs/>
          <w:color w:val="auto"/>
          <w:sz w:val="22"/>
          <w:szCs w:val="22"/>
        </w:rPr>
        <w:t>,</w:t>
      </w:r>
      <w:r w:rsidR="006170CA">
        <w:rPr>
          <w:rFonts w:ascii="Times New Roman" w:hAnsi="Times New Roman" w:cs="Times New Roman"/>
          <w:bCs/>
          <w:color w:val="auto"/>
          <w:sz w:val="22"/>
          <w:szCs w:val="22"/>
        </w:rPr>
        <w:t xml:space="preserve"> mediante una alusión genérica</w:t>
      </w:r>
      <w:r w:rsidR="00496E48">
        <w:rPr>
          <w:rFonts w:ascii="Times New Roman" w:hAnsi="Times New Roman" w:cs="Times New Roman"/>
          <w:bCs/>
          <w:color w:val="auto"/>
          <w:sz w:val="22"/>
          <w:szCs w:val="22"/>
        </w:rPr>
        <w:t xml:space="preserve">, </w:t>
      </w:r>
      <w:r w:rsidR="00837953" w:rsidRPr="00837953">
        <w:rPr>
          <w:rFonts w:ascii="Times New Roman" w:hAnsi="Times New Roman" w:cs="Times New Roman"/>
          <w:bCs/>
          <w:color w:val="auto"/>
          <w:sz w:val="22"/>
          <w:szCs w:val="22"/>
        </w:rPr>
        <w:t xml:space="preserve">en el </w:t>
      </w:r>
      <w:r w:rsidR="006170CA">
        <w:rPr>
          <w:rFonts w:ascii="Times New Roman" w:hAnsi="Times New Roman" w:cs="Times New Roman"/>
          <w:bCs/>
          <w:color w:val="auto"/>
          <w:sz w:val="22"/>
          <w:szCs w:val="22"/>
        </w:rPr>
        <w:t>contexto</w:t>
      </w:r>
      <w:r w:rsidR="00837953" w:rsidRPr="00837953">
        <w:rPr>
          <w:rFonts w:ascii="Times New Roman" w:hAnsi="Times New Roman" w:cs="Times New Roman"/>
          <w:bCs/>
          <w:color w:val="auto"/>
          <w:sz w:val="22"/>
          <w:szCs w:val="22"/>
        </w:rPr>
        <w:t xml:space="preserve"> de los riesgos laborales.</w:t>
      </w:r>
    </w:p>
    <w:p w14:paraId="220E0C1B" w14:textId="0FF32EEB" w:rsidR="00837953" w:rsidRDefault="00837953" w:rsidP="00837953">
      <w:pPr>
        <w:pStyle w:val="Default"/>
        <w:jc w:val="both"/>
        <w:rPr>
          <w:rFonts w:ascii="Times New Roman" w:hAnsi="Times New Roman" w:cs="Times New Roman"/>
          <w:bCs/>
          <w:color w:val="auto"/>
          <w:sz w:val="22"/>
          <w:szCs w:val="22"/>
        </w:rPr>
      </w:pPr>
    </w:p>
    <w:p w14:paraId="7F5BAF4E" w14:textId="14C83D2C" w:rsidR="00837953" w:rsidRDefault="00086A67" w:rsidP="0083795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Adicionalmente</w:t>
      </w:r>
      <w:r w:rsidR="00837953">
        <w:rPr>
          <w:rFonts w:ascii="Times New Roman" w:hAnsi="Times New Roman" w:cs="Times New Roman"/>
          <w:bCs/>
          <w:color w:val="auto"/>
          <w:sz w:val="22"/>
          <w:szCs w:val="22"/>
        </w:rPr>
        <w:t xml:space="preserve">, el informe de valoración emitido por el Área de Intervención </w:t>
      </w:r>
      <w:r w:rsidR="00C91B95">
        <w:rPr>
          <w:rFonts w:ascii="Times New Roman" w:hAnsi="Times New Roman" w:cs="Times New Roman"/>
          <w:bCs/>
          <w:color w:val="auto"/>
          <w:sz w:val="22"/>
          <w:szCs w:val="22"/>
        </w:rPr>
        <w:t>S</w:t>
      </w:r>
      <w:r w:rsidR="00837953">
        <w:rPr>
          <w:rFonts w:ascii="Times New Roman" w:hAnsi="Times New Roman" w:cs="Times New Roman"/>
          <w:bCs/>
          <w:color w:val="auto"/>
          <w:sz w:val="22"/>
          <w:szCs w:val="22"/>
        </w:rPr>
        <w:t>ocial de 13 de julio de 202</w:t>
      </w:r>
      <w:r w:rsidR="00C91B95">
        <w:rPr>
          <w:rFonts w:ascii="Times New Roman" w:hAnsi="Times New Roman" w:cs="Times New Roman"/>
          <w:bCs/>
          <w:color w:val="auto"/>
          <w:sz w:val="22"/>
          <w:szCs w:val="22"/>
        </w:rPr>
        <w:t>3</w:t>
      </w:r>
      <w:r w:rsidR="00425252">
        <w:rPr>
          <w:rFonts w:ascii="Times New Roman" w:hAnsi="Times New Roman" w:cs="Times New Roman"/>
          <w:bCs/>
          <w:color w:val="auto"/>
          <w:sz w:val="22"/>
          <w:szCs w:val="22"/>
        </w:rPr>
        <w:t xml:space="preserve"> y</w:t>
      </w:r>
      <w:r w:rsidR="00837953">
        <w:rPr>
          <w:rFonts w:ascii="Times New Roman" w:hAnsi="Times New Roman" w:cs="Times New Roman"/>
          <w:bCs/>
          <w:color w:val="auto"/>
          <w:sz w:val="22"/>
          <w:szCs w:val="22"/>
        </w:rPr>
        <w:t xml:space="preserve"> asumido por la mesa de contratación</w:t>
      </w:r>
      <w:r w:rsidR="00425252">
        <w:rPr>
          <w:rFonts w:ascii="Times New Roman" w:hAnsi="Times New Roman" w:cs="Times New Roman"/>
          <w:bCs/>
          <w:color w:val="auto"/>
          <w:sz w:val="22"/>
          <w:szCs w:val="22"/>
        </w:rPr>
        <w:t xml:space="preserve"> contiene, en relación con este mismo punto y documento, que “Sacyr Social presenta un documento mediante el que hace un análisis de los riesgos laborales y en concreto de los riesgos psicosociales que podrían presentarse en el entorno laboral del SAD”.</w:t>
      </w:r>
    </w:p>
    <w:p w14:paraId="4984E031" w14:textId="77777777" w:rsidR="00C91B95" w:rsidRDefault="00C91B95" w:rsidP="00837953">
      <w:pPr>
        <w:pStyle w:val="Default"/>
        <w:jc w:val="both"/>
        <w:rPr>
          <w:rFonts w:ascii="Times New Roman" w:hAnsi="Times New Roman" w:cs="Times New Roman"/>
          <w:bCs/>
          <w:color w:val="auto"/>
          <w:sz w:val="22"/>
          <w:szCs w:val="22"/>
        </w:rPr>
      </w:pPr>
    </w:p>
    <w:p w14:paraId="2F6B7DAC" w14:textId="6EFE689A" w:rsidR="000E70E5" w:rsidRDefault="002C3784" w:rsidP="0083795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Lo dicho hasta aquí permite ya afirmar que l</w:t>
      </w:r>
      <w:r w:rsidR="000E70E5">
        <w:rPr>
          <w:rFonts w:ascii="Times New Roman" w:hAnsi="Times New Roman" w:cs="Times New Roman"/>
          <w:bCs/>
          <w:color w:val="auto"/>
          <w:sz w:val="22"/>
          <w:szCs w:val="22"/>
        </w:rPr>
        <w:t xml:space="preserve">as motivaciones de la recurrente en relación con este punto carecen de fuerza de convicción: </w:t>
      </w:r>
      <w:r w:rsidR="007A1CD8">
        <w:rPr>
          <w:rFonts w:ascii="Times New Roman" w:hAnsi="Times New Roman" w:cs="Times New Roman"/>
          <w:bCs/>
          <w:color w:val="auto"/>
          <w:sz w:val="22"/>
          <w:szCs w:val="22"/>
        </w:rPr>
        <w:t xml:space="preserve">en </w:t>
      </w:r>
      <w:r w:rsidR="00941296">
        <w:rPr>
          <w:rFonts w:ascii="Times New Roman" w:hAnsi="Times New Roman" w:cs="Times New Roman"/>
          <w:bCs/>
          <w:color w:val="auto"/>
          <w:sz w:val="22"/>
          <w:szCs w:val="22"/>
        </w:rPr>
        <w:t>principio, no cabe excluir que</w:t>
      </w:r>
      <w:r w:rsidR="000E70E5">
        <w:rPr>
          <w:rFonts w:ascii="Times New Roman" w:hAnsi="Times New Roman" w:cs="Times New Roman"/>
          <w:bCs/>
          <w:color w:val="auto"/>
          <w:sz w:val="22"/>
          <w:szCs w:val="22"/>
        </w:rPr>
        <w:t xml:space="preserve"> tanto los riesgos psicosociales </w:t>
      </w:r>
      <w:r w:rsidR="00484562">
        <w:rPr>
          <w:rFonts w:ascii="Times New Roman" w:hAnsi="Times New Roman" w:cs="Times New Roman"/>
          <w:bCs/>
          <w:color w:val="auto"/>
          <w:sz w:val="22"/>
          <w:szCs w:val="22"/>
        </w:rPr>
        <w:t xml:space="preserve">desde la perspectiva de género, como los riesgos vinculados al domicilio de las personas usuarias de los servicios objeto del contrato, </w:t>
      </w:r>
      <w:r w:rsidR="007A1CD8">
        <w:rPr>
          <w:rFonts w:ascii="Times New Roman" w:hAnsi="Times New Roman" w:cs="Times New Roman"/>
          <w:bCs/>
          <w:color w:val="auto"/>
          <w:sz w:val="22"/>
          <w:szCs w:val="22"/>
        </w:rPr>
        <w:t xml:space="preserve">pueden </w:t>
      </w:r>
      <w:r w:rsidR="00484562">
        <w:rPr>
          <w:rFonts w:ascii="Times New Roman" w:hAnsi="Times New Roman" w:cs="Times New Roman"/>
          <w:bCs/>
          <w:color w:val="auto"/>
          <w:sz w:val="22"/>
          <w:szCs w:val="22"/>
        </w:rPr>
        <w:t>guarda</w:t>
      </w:r>
      <w:r w:rsidR="007A1CD8">
        <w:rPr>
          <w:rFonts w:ascii="Times New Roman" w:hAnsi="Times New Roman" w:cs="Times New Roman"/>
          <w:bCs/>
          <w:color w:val="auto"/>
          <w:sz w:val="22"/>
          <w:szCs w:val="22"/>
        </w:rPr>
        <w:t>r</w:t>
      </w:r>
      <w:r w:rsidR="00484562">
        <w:rPr>
          <w:rFonts w:ascii="Times New Roman" w:hAnsi="Times New Roman" w:cs="Times New Roman"/>
          <w:bCs/>
          <w:color w:val="auto"/>
          <w:sz w:val="22"/>
          <w:szCs w:val="22"/>
        </w:rPr>
        <w:t xml:space="preserve"> relación</w:t>
      </w:r>
      <w:r w:rsidR="007A1CD8">
        <w:rPr>
          <w:rFonts w:ascii="Times New Roman" w:hAnsi="Times New Roman" w:cs="Times New Roman"/>
          <w:bCs/>
          <w:color w:val="auto"/>
          <w:sz w:val="22"/>
          <w:szCs w:val="22"/>
        </w:rPr>
        <w:t xml:space="preserve"> con los riesgos laborales</w:t>
      </w:r>
      <w:r w:rsidR="00941296">
        <w:rPr>
          <w:rFonts w:ascii="Times New Roman" w:hAnsi="Times New Roman" w:cs="Times New Roman"/>
          <w:bCs/>
          <w:color w:val="auto"/>
          <w:sz w:val="22"/>
          <w:szCs w:val="22"/>
        </w:rPr>
        <w:t>.</w:t>
      </w:r>
      <w:r w:rsidR="00C91B95">
        <w:rPr>
          <w:rFonts w:ascii="Times New Roman" w:hAnsi="Times New Roman" w:cs="Times New Roman"/>
          <w:bCs/>
          <w:color w:val="auto"/>
          <w:sz w:val="22"/>
          <w:szCs w:val="22"/>
        </w:rPr>
        <w:t xml:space="preserve"> </w:t>
      </w:r>
      <w:r w:rsidR="00941296">
        <w:rPr>
          <w:rFonts w:ascii="Times New Roman" w:hAnsi="Times New Roman" w:cs="Times New Roman"/>
          <w:bCs/>
          <w:color w:val="auto"/>
          <w:sz w:val="22"/>
          <w:szCs w:val="22"/>
        </w:rPr>
        <w:t>L</w:t>
      </w:r>
      <w:r w:rsidR="00496E48">
        <w:rPr>
          <w:rFonts w:ascii="Times New Roman" w:hAnsi="Times New Roman" w:cs="Times New Roman"/>
          <w:bCs/>
          <w:color w:val="auto"/>
          <w:sz w:val="22"/>
          <w:szCs w:val="22"/>
        </w:rPr>
        <w:t>a detección de</w:t>
      </w:r>
      <w:r w:rsidR="00941296">
        <w:rPr>
          <w:rFonts w:ascii="Times New Roman" w:hAnsi="Times New Roman" w:cs="Times New Roman"/>
          <w:bCs/>
          <w:color w:val="auto"/>
          <w:sz w:val="22"/>
          <w:szCs w:val="22"/>
        </w:rPr>
        <w:t xml:space="preserve"> riesgos domiciliarios </w:t>
      </w:r>
      <w:r w:rsidR="00496E48">
        <w:rPr>
          <w:rFonts w:ascii="Times New Roman" w:hAnsi="Times New Roman" w:cs="Times New Roman"/>
          <w:bCs/>
          <w:color w:val="auto"/>
          <w:sz w:val="22"/>
          <w:szCs w:val="22"/>
        </w:rPr>
        <w:t>se prevé inmediatamente</w:t>
      </w:r>
      <w:r w:rsidR="00941296">
        <w:rPr>
          <w:rFonts w:ascii="Times New Roman" w:hAnsi="Times New Roman" w:cs="Times New Roman"/>
          <w:bCs/>
          <w:color w:val="auto"/>
          <w:sz w:val="22"/>
          <w:szCs w:val="22"/>
        </w:rPr>
        <w:t xml:space="preserve"> en interés de las personas usuarias</w:t>
      </w:r>
      <w:r w:rsidR="00496E48">
        <w:rPr>
          <w:rFonts w:ascii="Times New Roman" w:hAnsi="Times New Roman" w:cs="Times New Roman"/>
          <w:bCs/>
          <w:color w:val="auto"/>
          <w:sz w:val="22"/>
          <w:szCs w:val="22"/>
        </w:rPr>
        <w:t xml:space="preserve"> del servicio</w:t>
      </w:r>
      <w:r w:rsidR="00941296">
        <w:rPr>
          <w:rFonts w:ascii="Times New Roman" w:hAnsi="Times New Roman" w:cs="Times New Roman"/>
          <w:bCs/>
          <w:color w:val="auto"/>
          <w:sz w:val="22"/>
          <w:szCs w:val="22"/>
        </w:rPr>
        <w:t xml:space="preserve">, </w:t>
      </w:r>
      <w:r w:rsidR="00C91B95">
        <w:rPr>
          <w:rFonts w:ascii="Times New Roman" w:hAnsi="Times New Roman" w:cs="Times New Roman"/>
          <w:bCs/>
          <w:color w:val="auto"/>
          <w:sz w:val="22"/>
          <w:szCs w:val="22"/>
        </w:rPr>
        <w:t xml:space="preserve">aunque </w:t>
      </w:r>
      <w:r w:rsidR="00941296">
        <w:rPr>
          <w:rFonts w:ascii="Times New Roman" w:hAnsi="Times New Roman" w:cs="Times New Roman"/>
          <w:bCs/>
          <w:color w:val="auto"/>
          <w:sz w:val="22"/>
          <w:szCs w:val="22"/>
        </w:rPr>
        <w:t>sin excluir, a la luz de lo establecido en el cuadro de características</w:t>
      </w:r>
      <w:r w:rsidR="00496E48">
        <w:rPr>
          <w:rFonts w:ascii="Times New Roman" w:hAnsi="Times New Roman" w:cs="Times New Roman"/>
          <w:bCs/>
          <w:color w:val="auto"/>
          <w:sz w:val="22"/>
          <w:szCs w:val="22"/>
        </w:rPr>
        <w:t>,</w:t>
      </w:r>
      <w:r w:rsidR="00941296">
        <w:rPr>
          <w:rFonts w:ascii="Times New Roman" w:hAnsi="Times New Roman" w:cs="Times New Roman"/>
          <w:bCs/>
          <w:color w:val="auto"/>
          <w:sz w:val="22"/>
          <w:szCs w:val="22"/>
        </w:rPr>
        <w:t xml:space="preserve"> el interés de las personas empleadas de la contratista (</w:t>
      </w:r>
      <w:r w:rsidR="00496E48">
        <w:rPr>
          <w:rFonts w:ascii="Times New Roman" w:hAnsi="Times New Roman" w:cs="Times New Roman"/>
          <w:bCs/>
          <w:color w:val="auto"/>
          <w:sz w:val="22"/>
          <w:szCs w:val="22"/>
        </w:rPr>
        <w:t>“</w:t>
      </w:r>
      <w:r w:rsidR="00941296">
        <w:rPr>
          <w:rFonts w:ascii="Times New Roman" w:hAnsi="Times New Roman" w:cs="Times New Roman"/>
          <w:bCs/>
          <w:color w:val="auto"/>
          <w:sz w:val="22"/>
          <w:szCs w:val="22"/>
        </w:rPr>
        <w:t>riesgos para</w:t>
      </w:r>
      <w:r w:rsidR="00496E48">
        <w:rPr>
          <w:rFonts w:ascii="Times New Roman" w:hAnsi="Times New Roman" w:cs="Times New Roman"/>
          <w:bCs/>
          <w:color w:val="auto"/>
          <w:sz w:val="22"/>
          <w:szCs w:val="22"/>
        </w:rPr>
        <w:t xml:space="preserve"> la prestación del servicio”).</w:t>
      </w:r>
      <w:r w:rsidR="0025180F">
        <w:rPr>
          <w:rFonts w:ascii="Times New Roman" w:hAnsi="Times New Roman" w:cs="Times New Roman"/>
          <w:bCs/>
          <w:color w:val="auto"/>
          <w:sz w:val="22"/>
          <w:szCs w:val="22"/>
        </w:rPr>
        <w:t xml:space="preserve"> </w:t>
      </w:r>
      <w:r w:rsidR="00496E48">
        <w:rPr>
          <w:rFonts w:ascii="Times New Roman" w:hAnsi="Times New Roman" w:cs="Times New Roman"/>
          <w:bCs/>
          <w:color w:val="auto"/>
          <w:sz w:val="22"/>
          <w:szCs w:val="22"/>
        </w:rPr>
        <w:t>La de riesgos psicosociales atiende, según los pliegos, tanto al interés de los profesionales</w:t>
      </w:r>
      <w:r w:rsidR="00941296">
        <w:rPr>
          <w:rFonts w:ascii="Times New Roman" w:hAnsi="Times New Roman" w:cs="Times New Roman"/>
          <w:bCs/>
          <w:color w:val="auto"/>
          <w:sz w:val="22"/>
          <w:szCs w:val="22"/>
        </w:rPr>
        <w:t xml:space="preserve"> </w:t>
      </w:r>
      <w:r w:rsidR="00496E48">
        <w:rPr>
          <w:rFonts w:ascii="Times New Roman" w:hAnsi="Times New Roman" w:cs="Times New Roman"/>
          <w:bCs/>
          <w:color w:val="auto"/>
          <w:sz w:val="22"/>
          <w:szCs w:val="22"/>
        </w:rPr>
        <w:t>como al de los usuarios</w:t>
      </w:r>
      <w:r w:rsidR="0025180F">
        <w:rPr>
          <w:rFonts w:ascii="Times New Roman" w:hAnsi="Times New Roman" w:cs="Times New Roman"/>
          <w:bCs/>
          <w:color w:val="auto"/>
          <w:sz w:val="22"/>
          <w:szCs w:val="22"/>
        </w:rPr>
        <w:t>.</w:t>
      </w:r>
    </w:p>
    <w:p w14:paraId="3DB56FD5" w14:textId="749012AC" w:rsidR="0025180F" w:rsidRDefault="0025180F" w:rsidP="00837953">
      <w:pPr>
        <w:pStyle w:val="Default"/>
        <w:jc w:val="both"/>
        <w:rPr>
          <w:rFonts w:ascii="Times New Roman" w:hAnsi="Times New Roman" w:cs="Times New Roman"/>
          <w:bCs/>
          <w:color w:val="auto"/>
          <w:sz w:val="22"/>
          <w:szCs w:val="22"/>
        </w:rPr>
      </w:pPr>
    </w:p>
    <w:p w14:paraId="56293796" w14:textId="7D68100B" w:rsidR="0025180F" w:rsidRDefault="0025180F" w:rsidP="0083795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Enmarcar el sistema de detección de riesgos psicosociales, objeto de valoración no por fórmulas, en el contexto de los riesgos laborales </w:t>
      </w:r>
      <w:r w:rsidR="001D4CAB">
        <w:rPr>
          <w:rFonts w:ascii="Times New Roman" w:hAnsi="Times New Roman" w:cs="Times New Roman"/>
          <w:bCs/>
          <w:color w:val="auto"/>
          <w:sz w:val="22"/>
          <w:szCs w:val="22"/>
        </w:rPr>
        <w:t>podría</w:t>
      </w:r>
      <w:r>
        <w:rPr>
          <w:rFonts w:ascii="Times New Roman" w:hAnsi="Times New Roman" w:cs="Times New Roman"/>
          <w:bCs/>
          <w:color w:val="auto"/>
          <w:sz w:val="22"/>
          <w:szCs w:val="22"/>
        </w:rPr>
        <w:t xml:space="preserve"> considerarse </w:t>
      </w:r>
      <w:r w:rsidR="001D4CAB">
        <w:rPr>
          <w:rFonts w:ascii="Times New Roman" w:hAnsi="Times New Roman" w:cs="Times New Roman"/>
          <w:bCs/>
          <w:color w:val="auto"/>
          <w:sz w:val="22"/>
          <w:szCs w:val="22"/>
        </w:rPr>
        <w:t>reduccionista</w:t>
      </w:r>
      <w:r>
        <w:rPr>
          <w:rFonts w:ascii="Times New Roman" w:hAnsi="Times New Roman" w:cs="Times New Roman"/>
          <w:bCs/>
          <w:color w:val="auto"/>
          <w:sz w:val="22"/>
          <w:szCs w:val="22"/>
        </w:rPr>
        <w:t xml:space="preserve">, en la medida en que </w:t>
      </w:r>
      <w:r w:rsidR="00C91B95">
        <w:rPr>
          <w:rFonts w:ascii="Times New Roman" w:hAnsi="Times New Roman" w:cs="Times New Roman"/>
          <w:bCs/>
          <w:color w:val="auto"/>
          <w:sz w:val="22"/>
          <w:szCs w:val="22"/>
        </w:rPr>
        <w:t xml:space="preserve">se trata de riesgos </w:t>
      </w:r>
      <w:r>
        <w:rPr>
          <w:rFonts w:ascii="Times New Roman" w:hAnsi="Times New Roman" w:cs="Times New Roman"/>
          <w:bCs/>
          <w:color w:val="auto"/>
          <w:sz w:val="22"/>
          <w:szCs w:val="22"/>
        </w:rPr>
        <w:t xml:space="preserve">pueden afectar también a las personas usuarias, </w:t>
      </w:r>
      <w:r w:rsidR="005E63D5">
        <w:rPr>
          <w:rFonts w:ascii="Times New Roman" w:hAnsi="Times New Roman" w:cs="Times New Roman"/>
          <w:bCs/>
          <w:color w:val="auto"/>
          <w:sz w:val="22"/>
          <w:szCs w:val="22"/>
        </w:rPr>
        <w:t xml:space="preserve">según lo expuesto, </w:t>
      </w:r>
      <w:r>
        <w:rPr>
          <w:rFonts w:ascii="Times New Roman" w:hAnsi="Times New Roman" w:cs="Times New Roman"/>
          <w:bCs/>
          <w:color w:val="auto"/>
          <w:sz w:val="22"/>
          <w:szCs w:val="22"/>
        </w:rPr>
        <w:t xml:space="preserve">pero ello no implica </w:t>
      </w:r>
      <w:r w:rsidR="005E63D5">
        <w:rPr>
          <w:rFonts w:ascii="Times New Roman" w:hAnsi="Times New Roman" w:cs="Times New Roman"/>
          <w:bCs/>
          <w:color w:val="auto"/>
          <w:sz w:val="22"/>
          <w:szCs w:val="22"/>
        </w:rPr>
        <w:t xml:space="preserve">en modo alguno </w:t>
      </w:r>
      <w:r w:rsidR="001D4CAB">
        <w:rPr>
          <w:rFonts w:ascii="Times New Roman" w:hAnsi="Times New Roman" w:cs="Times New Roman"/>
          <w:bCs/>
          <w:color w:val="auto"/>
          <w:sz w:val="22"/>
          <w:szCs w:val="22"/>
        </w:rPr>
        <w:t>que con esta forma de proceder la adjudicataria haya aportado</w:t>
      </w:r>
      <w:r>
        <w:rPr>
          <w:rFonts w:ascii="Times New Roman" w:hAnsi="Times New Roman" w:cs="Times New Roman"/>
          <w:bCs/>
          <w:color w:val="auto"/>
          <w:sz w:val="22"/>
          <w:szCs w:val="22"/>
        </w:rPr>
        <w:t xml:space="preserve"> información</w:t>
      </w:r>
      <w:r w:rsidR="005E63D5">
        <w:rPr>
          <w:rFonts w:ascii="Times New Roman" w:hAnsi="Times New Roman" w:cs="Times New Roman"/>
          <w:bCs/>
          <w:color w:val="auto"/>
          <w:sz w:val="22"/>
          <w:szCs w:val="22"/>
        </w:rPr>
        <w:t xml:space="preserve"> acerca del sistema de detección de riesgos domiciliarios objeto de valoración por fórmulas, al que la oferta de la adjudicataria incluida en el sobre B no hace, por lo demás</w:t>
      </w:r>
      <w:r w:rsidR="00C91B95">
        <w:rPr>
          <w:rFonts w:ascii="Times New Roman" w:hAnsi="Times New Roman" w:cs="Times New Roman"/>
          <w:bCs/>
          <w:color w:val="auto"/>
          <w:sz w:val="22"/>
          <w:szCs w:val="22"/>
        </w:rPr>
        <w:t>, interesa subrayarlo</w:t>
      </w:r>
      <w:r w:rsidR="005E63D5">
        <w:rPr>
          <w:rFonts w:ascii="Times New Roman" w:hAnsi="Times New Roman" w:cs="Times New Roman"/>
          <w:bCs/>
          <w:color w:val="auto"/>
          <w:sz w:val="22"/>
          <w:szCs w:val="22"/>
        </w:rPr>
        <w:t>, referencia alguna.</w:t>
      </w:r>
    </w:p>
    <w:p w14:paraId="6F166418" w14:textId="490ACD9A" w:rsidR="005E63D5" w:rsidRDefault="005E63D5" w:rsidP="00837953">
      <w:pPr>
        <w:pStyle w:val="Default"/>
        <w:jc w:val="both"/>
        <w:rPr>
          <w:rFonts w:ascii="Times New Roman" w:hAnsi="Times New Roman" w:cs="Times New Roman"/>
          <w:bCs/>
          <w:color w:val="auto"/>
          <w:sz w:val="22"/>
          <w:szCs w:val="22"/>
        </w:rPr>
      </w:pPr>
    </w:p>
    <w:p w14:paraId="06644D38" w14:textId="77F726D8" w:rsidR="00DE0ED4" w:rsidRDefault="00C91B95" w:rsidP="00837953">
      <w:pPr>
        <w:pStyle w:val="Default"/>
        <w:jc w:val="both"/>
        <w:rPr>
          <w:rFonts w:ascii="Times New Roman" w:hAnsi="Times New Roman" w:cs="Times New Roman"/>
          <w:bCs/>
          <w:sz w:val="22"/>
          <w:szCs w:val="22"/>
        </w:rPr>
      </w:pPr>
      <w:r>
        <w:rPr>
          <w:rFonts w:ascii="Times New Roman" w:hAnsi="Times New Roman" w:cs="Times New Roman"/>
          <w:bCs/>
          <w:color w:val="auto"/>
          <w:sz w:val="22"/>
          <w:szCs w:val="22"/>
        </w:rPr>
        <w:t>E</w:t>
      </w:r>
      <w:r w:rsidR="005E63D5">
        <w:rPr>
          <w:rFonts w:ascii="Times New Roman" w:hAnsi="Times New Roman" w:cs="Times New Roman"/>
          <w:bCs/>
          <w:color w:val="auto"/>
          <w:sz w:val="22"/>
          <w:szCs w:val="22"/>
        </w:rPr>
        <w:t>s el mismo modo de proceder que ha seguido</w:t>
      </w:r>
      <w:r>
        <w:rPr>
          <w:rFonts w:ascii="Times New Roman" w:hAnsi="Times New Roman" w:cs="Times New Roman"/>
          <w:bCs/>
          <w:color w:val="auto"/>
          <w:sz w:val="22"/>
          <w:szCs w:val="22"/>
        </w:rPr>
        <w:t>, por otra parte,</w:t>
      </w:r>
      <w:r w:rsidR="005E63D5">
        <w:rPr>
          <w:rFonts w:ascii="Times New Roman" w:hAnsi="Times New Roman" w:cs="Times New Roman"/>
          <w:bCs/>
          <w:color w:val="auto"/>
          <w:sz w:val="22"/>
          <w:szCs w:val="22"/>
        </w:rPr>
        <w:t xml:space="preserve"> la propia recurrente, que ha incluido en el </w:t>
      </w:r>
      <w:r w:rsidR="00086A67" w:rsidRPr="00086A67">
        <w:rPr>
          <w:rFonts w:ascii="Times New Roman" w:hAnsi="Times New Roman" w:cs="Times New Roman"/>
          <w:bCs/>
          <w:sz w:val="22"/>
          <w:szCs w:val="22"/>
        </w:rPr>
        <w:t xml:space="preserve">sobre B un documento </w:t>
      </w:r>
      <w:r w:rsidR="005E63D5">
        <w:rPr>
          <w:rFonts w:ascii="Times New Roman" w:hAnsi="Times New Roman" w:cs="Times New Roman"/>
          <w:bCs/>
          <w:sz w:val="22"/>
          <w:szCs w:val="22"/>
        </w:rPr>
        <w:t>de</w:t>
      </w:r>
      <w:r w:rsidR="00086A67" w:rsidRPr="00086A67">
        <w:rPr>
          <w:rFonts w:ascii="Times New Roman" w:hAnsi="Times New Roman" w:cs="Times New Roman"/>
          <w:bCs/>
          <w:sz w:val="22"/>
          <w:szCs w:val="22"/>
        </w:rPr>
        <w:t xml:space="preserve"> oferta </w:t>
      </w:r>
      <w:r w:rsidR="005E63D5">
        <w:rPr>
          <w:rFonts w:ascii="Times New Roman" w:hAnsi="Times New Roman" w:cs="Times New Roman"/>
          <w:bCs/>
          <w:sz w:val="22"/>
          <w:szCs w:val="22"/>
        </w:rPr>
        <w:t xml:space="preserve">de </w:t>
      </w:r>
      <w:r w:rsidR="00086A67" w:rsidRPr="00086A67">
        <w:rPr>
          <w:rFonts w:ascii="Times New Roman" w:hAnsi="Times New Roman" w:cs="Times New Roman"/>
          <w:bCs/>
          <w:sz w:val="22"/>
          <w:szCs w:val="22"/>
        </w:rPr>
        <w:t>un “Servicio de valoración de riesgos psicosociales con perspectiva de género” ubic</w:t>
      </w:r>
      <w:r w:rsidR="00DE0ED4">
        <w:rPr>
          <w:rFonts w:ascii="Times New Roman" w:hAnsi="Times New Roman" w:cs="Times New Roman"/>
          <w:bCs/>
          <w:sz w:val="22"/>
          <w:szCs w:val="22"/>
        </w:rPr>
        <w:t>ado</w:t>
      </w:r>
      <w:r w:rsidR="00086A67" w:rsidRPr="00086A67">
        <w:rPr>
          <w:rFonts w:ascii="Times New Roman" w:hAnsi="Times New Roman" w:cs="Times New Roman"/>
          <w:bCs/>
          <w:sz w:val="22"/>
          <w:szCs w:val="22"/>
        </w:rPr>
        <w:t xml:space="preserve">, </w:t>
      </w:r>
      <w:r w:rsidR="0092049D">
        <w:rPr>
          <w:rFonts w:ascii="Times New Roman" w:hAnsi="Times New Roman" w:cs="Times New Roman"/>
          <w:bCs/>
          <w:sz w:val="22"/>
          <w:szCs w:val="22"/>
        </w:rPr>
        <w:t>en términos sustancialmente idénticos a los de</w:t>
      </w:r>
      <w:r w:rsidR="00086A67" w:rsidRPr="00086A67">
        <w:rPr>
          <w:rFonts w:ascii="Times New Roman" w:hAnsi="Times New Roman" w:cs="Times New Roman"/>
          <w:bCs/>
          <w:sz w:val="22"/>
          <w:szCs w:val="22"/>
        </w:rPr>
        <w:t xml:space="preserve"> la adjudicataria, en el marco de los riesgos laborales</w:t>
      </w:r>
      <w:r w:rsidR="00DE0ED4">
        <w:rPr>
          <w:rFonts w:ascii="Times New Roman" w:hAnsi="Times New Roman" w:cs="Times New Roman"/>
          <w:bCs/>
          <w:sz w:val="22"/>
          <w:szCs w:val="22"/>
        </w:rPr>
        <w:t>.</w:t>
      </w:r>
    </w:p>
    <w:p w14:paraId="185A7425" w14:textId="77777777" w:rsidR="00DE0ED4" w:rsidRDefault="00DE0ED4" w:rsidP="00837953">
      <w:pPr>
        <w:pStyle w:val="Default"/>
        <w:jc w:val="both"/>
        <w:rPr>
          <w:rFonts w:ascii="Times New Roman" w:hAnsi="Times New Roman" w:cs="Times New Roman"/>
          <w:bCs/>
          <w:sz w:val="22"/>
          <w:szCs w:val="22"/>
        </w:rPr>
      </w:pPr>
    </w:p>
    <w:p w14:paraId="1E797E00" w14:textId="4D581544" w:rsidR="00425252" w:rsidRPr="00086A67" w:rsidRDefault="00DE0ED4" w:rsidP="00837953">
      <w:pPr>
        <w:pStyle w:val="Default"/>
        <w:jc w:val="both"/>
        <w:rPr>
          <w:rFonts w:ascii="Times New Roman" w:hAnsi="Times New Roman" w:cs="Times New Roman"/>
          <w:bCs/>
          <w:color w:val="auto"/>
          <w:sz w:val="22"/>
          <w:szCs w:val="22"/>
        </w:rPr>
      </w:pPr>
      <w:r>
        <w:rPr>
          <w:rFonts w:ascii="Times New Roman" w:hAnsi="Times New Roman" w:cs="Times New Roman"/>
          <w:bCs/>
          <w:sz w:val="22"/>
          <w:szCs w:val="22"/>
        </w:rPr>
        <w:t xml:space="preserve">Se concluye de lo dicho que las alegaciones de la recurrente en relación con este punto </w:t>
      </w:r>
      <w:r w:rsidR="00146227" w:rsidRPr="00086A67">
        <w:rPr>
          <w:rFonts w:ascii="Times New Roman" w:hAnsi="Times New Roman" w:cs="Times New Roman"/>
          <w:sz w:val="22"/>
          <w:szCs w:val="22"/>
        </w:rPr>
        <w:t>carece</w:t>
      </w:r>
      <w:r>
        <w:rPr>
          <w:rFonts w:ascii="Times New Roman" w:hAnsi="Times New Roman" w:cs="Times New Roman"/>
          <w:sz w:val="22"/>
          <w:szCs w:val="22"/>
        </w:rPr>
        <w:t>n</w:t>
      </w:r>
      <w:r w:rsidR="00146227" w:rsidRPr="00086A67">
        <w:rPr>
          <w:rFonts w:ascii="Times New Roman" w:hAnsi="Times New Roman" w:cs="Times New Roman"/>
          <w:sz w:val="22"/>
          <w:szCs w:val="22"/>
        </w:rPr>
        <w:t xml:space="preserve"> manifiestamente de fundamento</w:t>
      </w:r>
      <w:r w:rsidR="0092049D">
        <w:rPr>
          <w:rFonts w:ascii="Times New Roman" w:hAnsi="Times New Roman" w:cs="Times New Roman"/>
          <w:sz w:val="22"/>
          <w:szCs w:val="22"/>
        </w:rPr>
        <w:t>.</w:t>
      </w:r>
    </w:p>
    <w:p w14:paraId="3DEC8C5B" w14:textId="77777777" w:rsidR="004B0F2F" w:rsidRDefault="004B0F2F" w:rsidP="00871AA1">
      <w:pPr>
        <w:jc w:val="both"/>
        <w:rPr>
          <w:bCs/>
          <w:sz w:val="22"/>
          <w:szCs w:val="22"/>
        </w:rPr>
      </w:pPr>
    </w:p>
    <w:p w14:paraId="285AF6CF" w14:textId="67E4F9CE" w:rsidR="004B0F2F" w:rsidRDefault="00E6665E" w:rsidP="00871AA1">
      <w:pPr>
        <w:jc w:val="both"/>
        <w:rPr>
          <w:sz w:val="22"/>
          <w:szCs w:val="22"/>
        </w:rPr>
      </w:pPr>
      <w:proofErr w:type="gramStart"/>
      <w:r w:rsidRPr="00E6665E">
        <w:rPr>
          <w:b/>
          <w:sz w:val="22"/>
          <w:szCs w:val="22"/>
        </w:rPr>
        <w:t>OCTAVO.-</w:t>
      </w:r>
      <w:proofErr w:type="gramEnd"/>
      <w:r w:rsidRPr="00E6665E">
        <w:rPr>
          <w:b/>
          <w:sz w:val="22"/>
          <w:szCs w:val="22"/>
        </w:rPr>
        <w:t xml:space="preserve"> </w:t>
      </w:r>
      <w:r w:rsidR="00F83BF6">
        <w:rPr>
          <w:bCs/>
          <w:sz w:val="22"/>
          <w:szCs w:val="22"/>
        </w:rPr>
        <w:t>Para examinar</w:t>
      </w:r>
      <w:r w:rsidRPr="00F83BF6">
        <w:rPr>
          <w:bCs/>
          <w:sz w:val="22"/>
          <w:szCs w:val="22"/>
        </w:rPr>
        <w:t xml:space="preserve"> la cuestionada valoración de las ofertas de</w:t>
      </w:r>
      <w:r>
        <w:rPr>
          <w:b/>
          <w:sz w:val="22"/>
          <w:szCs w:val="22"/>
        </w:rPr>
        <w:t xml:space="preserve"> </w:t>
      </w:r>
      <w:r>
        <w:rPr>
          <w:sz w:val="22"/>
          <w:szCs w:val="22"/>
        </w:rPr>
        <w:t>SACYR SOCIAL S.L. y ZAINTZEN, S.A.</w:t>
      </w:r>
      <w:r w:rsidR="00F83BF6">
        <w:rPr>
          <w:sz w:val="22"/>
          <w:szCs w:val="22"/>
        </w:rPr>
        <w:t xml:space="preserve"> </w:t>
      </w:r>
      <w:r w:rsidR="0020386C">
        <w:rPr>
          <w:sz w:val="22"/>
          <w:szCs w:val="22"/>
        </w:rPr>
        <w:t xml:space="preserve">debemos </w:t>
      </w:r>
      <w:r w:rsidR="00F83BF6">
        <w:rPr>
          <w:sz w:val="22"/>
          <w:szCs w:val="22"/>
        </w:rPr>
        <w:t>partir asimismo del contenido de los pliegos del contrato</w:t>
      </w:r>
      <w:r w:rsidR="00DA5364">
        <w:rPr>
          <w:sz w:val="22"/>
          <w:szCs w:val="22"/>
        </w:rPr>
        <w:t>, que sobre la cuestión controvertida es del siguiente tenor:</w:t>
      </w:r>
    </w:p>
    <w:p w14:paraId="29C7109D" w14:textId="54D51D78" w:rsidR="00DA5364" w:rsidRDefault="00DA5364" w:rsidP="00871AA1">
      <w:pPr>
        <w:jc w:val="both"/>
        <w:rPr>
          <w:sz w:val="22"/>
          <w:szCs w:val="22"/>
        </w:rPr>
      </w:pPr>
    </w:p>
    <w:p w14:paraId="0ED8548C" w14:textId="35E463A8" w:rsidR="00DA5364" w:rsidRDefault="00DA5364" w:rsidP="00F46D45">
      <w:pPr>
        <w:ind w:left="567"/>
        <w:jc w:val="both"/>
        <w:rPr>
          <w:sz w:val="22"/>
          <w:szCs w:val="22"/>
        </w:rPr>
      </w:pPr>
      <w:r w:rsidRPr="00F46D45">
        <w:rPr>
          <w:sz w:val="22"/>
          <w:szCs w:val="22"/>
        </w:rPr>
        <w:t>M) CRITERIOS DE ADJUDICACIÓN Y ASPECTOS SUSCEPTIBLES DE NEGOCIACIÓN.</w:t>
      </w:r>
    </w:p>
    <w:p w14:paraId="15CFEB24" w14:textId="77777777" w:rsidR="00DA47D7" w:rsidRPr="00F46D45" w:rsidRDefault="00DA47D7" w:rsidP="00F46D45">
      <w:pPr>
        <w:ind w:left="567"/>
        <w:jc w:val="both"/>
        <w:rPr>
          <w:sz w:val="22"/>
          <w:szCs w:val="22"/>
        </w:rPr>
      </w:pPr>
    </w:p>
    <w:p w14:paraId="7B7D069F" w14:textId="0979C113" w:rsidR="00DA5364" w:rsidRPr="00F46D45" w:rsidRDefault="00DA5364" w:rsidP="00F46D45">
      <w:pPr>
        <w:ind w:left="567"/>
        <w:jc w:val="both"/>
        <w:rPr>
          <w:sz w:val="22"/>
          <w:szCs w:val="22"/>
        </w:rPr>
      </w:pPr>
      <w:r w:rsidRPr="00F46D45">
        <w:rPr>
          <w:sz w:val="22"/>
          <w:szCs w:val="22"/>
        </w:rPr>
        <w:t>No evaluables mediante fórmulas:</w:t>
      </w:r>
    </w:p>
    <w:p w14:paraId="1EF0ADE0" w14:textId="124B3827" w:rsidR="00DA5364" w:rsidRPr="00F46D45" w:rsidRDefault="00DA5364" w:rsidP="00F46D45">
      <w:pPr>
        <w:ind w:left="567"/>
        <w:jc w:val="both"/>
        <w:rPr>
          <w:sz w:val="22"/>
          <w:szCs w:val="22"/>
        </w:rPr>
      </w:pPr>
    </w:p>
    <w:p w14:paraId="6AB5F879" w14:textId="166EC8ED" w:rsidR="00DA5364" w:rsidRPr="00F46D45" w:rsidRDefault="00F651A0" w:rsidP="00F46D45">
      <w:pPr>
        <w:ind w:left="567"/>
        <w:jc w:val="both"/>
        <w:rPr>
          <w:sz w:val="22"/>
          <w:szCs w:val="22"/>
        </w:rPr>
      </w:pPr>
      <w:r>
        <w:rPr>
          <w:sz w:val="22"/>
          <w:szCs w:val="22"/>
        </w:rPr>
        <w:lastRenderedPageBreak/>
        <w:t>“</w:t>
      </w:r>
      <w:r w:rsidR="00DA5364" w:rsidRPr="00F46D45">
        <w:rPr>
          <w:sz w:val="22"/>
          <w:szCs w:val="22"/>
        </w:rPr>
        <w:t>6.- Disponibilidad, idoneidad y compromiso de entrega a todo el personal de atención directa de dosieres prácticos para la intervención en situaciones con especial dificultad: hasta un máximo de 15 puntos.</w:t>
      </w:r>
    </w:p>
    <w:p w14:paraId="6CE7F774" w14:textId="1A0D0332" w:rsidR="00DA5364" w:rsidRPr="00F46D45" w:rsidRDefault="00DA5364" w:rsidP="00F46D45">
      <w:pPr>
        <w:ind w:left="567"/>
        <w:jc w:val="both"/>
        <w:rPr>
          <w:sz w:val="22"/>
          <w:szCs w:val="22"/>
        </w:rPr>
      </w:pPr>
    </w:p>
    <w:p w14:paraId="004057EE" w14:textId="2780205C" w:rsidR="00DA5364" w:rsidRPr="00F46D45" w:rsidRDefault="00DA5364" w:rsidP="00F46D45">
      <w:pPr>
        <w:ind w:left="567"/>
        <w:jc w:val="both"/>
        <w:rPr>
          <w:sz w:val="22"/>
          <w:szCs w:val="22"/>
        </w:rPr>
      </w:pPr>
      <w:r w:rsidRPr="00F46D45">
        <w:rPr>
          <w:sz w:val="22"/>
          <w:szCs w:val="22"/>
        </w:rPr>
        <w:t>La presentación de oferta en este apartado tendrá valor de declaración responsable de compromiso de entrega de los dosieres al personal.</w:t>
      </w:r>
    </w:p>
    <w:p w14:paraId="79663B64" w14:textId="62016097" w:rsidR="00DA5364" w:rsidRPr="00F46D45" w:rsidRDefault="00DA5364" w:rsidP="00F46D45">
      <w:pPr>
        <w:ind w:left="567"/>
        <w:jc w:val="both"/>
        <w:rPr>
          <w:sz w:val="22"/>
          <w:szCs w:val="22"/>
        </w:rPr>
      </w:pPr>
    </w:p>
    <w:p w14:paraId="69E36508" w14:textId="398DB4E2" w:rsidR="00DA5364" w:rsidRPr="00F46D45" w:rsidRDefault="00DA5364" w:rsidP="00F46D45">
      <w:pPr>
        <w:ind w:left="567"/>
        <w:jc w:val="both"/>
        <w:rPr>
          <w:sz w:val="22"/>
          <w:szCs w:val="22"/>
        </w:rPr>
      </w:pPr>
      <w:r w:rsidRPr="00F46D45">
        <w:rPr>
          <w:sz w:val="22"/>
          <w:szCs w:val="22"/>
        </w:rPr>
        <w:t>Se otorgarán 3 puntos por cada dosier que verse en alguna de las siguientes materias:</w:t>
      </w:r>
    </w:p>
    <w:p w14:paraId="0C6118F2" w14:textId="0406C366" w:rsidR="00DA5364" w:rsidRPr="00F46D45" w:rsidRDefault="00DA5364" w:rsidP="00F46D45">
      <w:pPr>
        <w:ind w:left="567"/>
        <w:jc w:val="both"/>
        <w:rPr>
          <w:sz w:val="22"/>
          <w:szCs w:val="22"/>
        </w:rPr>
      </w:pPr>
    </w:p>
    <w:p w14:paraId="36D272A8" w14:textId="77777777" w:rsidR="00F46D45" w:rsidRPr="00F46D45" w:rsidRDefault="00F46D45" w:rsidP="00F46D45">
      <w:pPr>
        <w:pStyle w:val="Prrafodelista"/>
        <w:numPr>
          <w:ilvl w:val="0"/>
          <w:numId w:val="3"/>
        </w:numPr>
        <w:autoSpaceDE w:val="0"/>
        <w:autoSpaceDN w:val="0"/>
        <w:adjustRightInd w:val="0"/>
        <w:jc w:val="both"/>
        <w:rPr>
          <w:rFonts w:eastAsiaTheme="minorHAnsi"/>
          <w:color w:val="000000"/>
          <w:sz w:val="22"/>
          <w:szCs w:val="22"/>
          <w:lang w:eastAsia="en-US"/>
        </w:rPr>
      </w:pPr>
      <w:r w:rsidRPr="00F46D45">
        <w:rPr>
          <w:rFonts w:eastAsiaTheme="minorHAnsi"/>
          <w:color w:val="000000"/>
          <w:sz w:val="22"/>
          <w:szCs w:val="22"/>
          <w:lang w:eastAsia="en-US"/>
        </w:rPr>
        <w:t xml:space="preserve">Aspectos más relevantes </w:t>
      </w:r>
      <w:proofErr w:type="gramStart"/>
      <w:r w:rsidRPr="00F46D45">
        <w:rPr>
          <w:rFonts w:eastAsiaTheme="minorHAnsi"/>
          <w:color w:val="000000"/>
          <w:sz w:val="22"/>
          <w:szCs w:val="22"/>
          <w:lang w:eastAsia="en-US"/>
        </w:rPr>
        <w:t>a</w:t>
      </w:r>
      <w:proofErr w:type="gramEnd"/>
      <w:r w:rsidRPr="00F46D45">
        <w:rPr>
          <w:rFonts w:eastAsiaTheme="minorHAnsi"/>
          <w:color w:val="000000"/>
          <w:sz w:val="22"/>
          <w:szCs w:val="22"/>
          <w:lang w:eastAsia="en-US"/>
        </w:rPr>
        <w:t xml:space="preserve"> tener en cuenta en la atención a personas con enfermedad mental y/o trastornos de conducta, desde el servicio de ayuda a domicilio. </w:t>
      </w:r>
    </w:p>
    <w:p w14:paraId="4DABEF80" w14:textId="77777777" w:rsidR="00F46D45" w:rsidRPr="00F46D45" w:rsidRDefault="00F46D45" w:rsidP="00F46D45">
      <w:pPr>
        <w:autoSpaceDE w:val="0"/>
        <w:autoSpaceDN w:val="0"/>
        <w:adjustRightInd w:val="0"/>
        <w:ind w:left="567"/>
        <w:jc w:val="both"/>
        <w:rPr>
          <w:rFonts w:eastAsiaTheme="minorHAnsi"/>
          <w:color w:val="000000"/>
          <w:sz w:val="24"/>
          <w:szCs w:val="24"/>
          <w:lang w:eastAsia="en-US"/>
        </w:rPr>
      </w:pPr>
    </w:p>
    <w:p w14:paraId="580FD8B7" w14:textId="77777777" w:rsidR="00F46D45" w:rsidRPr="00F46D45" w:rsidRDefault="00F46D45" w:rsidP="00F46D45">
      <w:pPr>
        <w:pStyle w:val="Prrafodelista"/>
        <w:numPr>
          <w:ilvl w:val="0"/>
          <w:numId w:val="3"/>
        </w:numPr>
        <w:autoSpaceDE w:val="0"/>
        <w:autoSpaceDN w:val="0"/>
        <w:adjustRightInd w:val="0"/>
        <w:jc w:val="both"/>
        <w:rPr>
          <w:rFonts w:eastAsiaTheme="minorHAnsi"/>
          <w:color w:val="000000"/>
          <w:sz w:val="22"/>
          <w:szCs w:val="22"/>
          <w:lang w:eastAsia="en-US"/>
        </w:rPr>
      </w:pPr>
      <w:r w:rsidRPr="00F46D45">
        <w:rPr>
          <w:rFonts w:eastAsiaTheme="minorHAnsi"/>
          <w:color w:val="000000"/>
          <w:sz w:val="22"/>
          <w:szCs w:val="22"/>
          <w:lang w:eastAsia="en-US"/>
        </w:rPr>
        <w:t xml:space="preserve">Aspectos más relevantes </w:t>
      </w:r>
      <w:proofErr w:type="gramStart"/>
      <w:r w:rsidRPr="00F46D45">
        <w:rPr>
          <w:rFonts w:eastAsiaTheme="minorHAnsi"/>
          <w:color w:val="000000"/>
          <w:sz w:val="22"/>
          <w:szCs w:val="22"/>
          <w:lang w:eastAsia="en-US"/>
        </w:rPr>
        <w:t>a</w:t>
      </w:r>
      <w:proofErr w:type="gramEnd"/>
      <w:r w:rsidRPr="00F46D45">
        <w:rPr>
          <w:rFonts w:eastAsiaTheme="minorHAnsi"/>
          <w:color w:val="000000"/>
          <w:sz w:val="22"/>
          <w:szCs w:val="22"/>
          <w:lang w:eastAsia="en-US"/>
        </w:rPr>
        <w:t xml:space="preserve"> tener en cuenta en la atención a personas con discapacidad intelectual desde el servicio de ayuda a domicilio </w:t>
      </w:r>
    </w:p>
    <w:p w14:paraId="6E9316A7" w14:textId="77777777" w:rsidR="00F46D45" w:rsidRPr="00F46D45" w:rsidRDefault="00F46D45" w:rsidP="00F46D45">
      <w:pPr>
        <w:autoSpaceDE w:val="0"/>
        <w:autoSpaceDN w:val="0"/>
        <w:adjustRightInd w:val="0"/>
        <w:ind w:left="567"/>
        <w:jc w:val="both"/>
        <w:rPr>
          <w:rFonts w:eastAsiaTheme="minorHAnsi"/>
          <w:color w:val="000000"/>
          <w:sz w:val="24"/>
          <w:szCs w:val="24"/>
          <w:lang w:eastAsia="en-US"/>
        </w:rPr>
      </w:pPr>
    </w:p>
    <w:p w14:paraId="1BD8F0CB" w14:textId="77777777" w:rsidR="00F46D45" w:rsidRPr="00F46D45" w:rsidRDefault="00F46D45" w:rsidP="00F46D45">
      <w:pPr>
        <w:pStyle w:val="Prrafodelista"/>
        <w:numPr>
          <w:ilvl w:val="0"/>
          <w:numId w:val="3"/>
        </w:numPr>
        <w:autoSpaceDE w:val="0"/>
        <w:autoSpaceDN w:val="0"/>
        <w:adjustRightInd w:val="0"/>
        <w:jc w:val="both"/>
        <w:rPr>
          <w:rFonts w:eastAsiaTheme="minorHAnsi"/>
          <w:color w:val="000000"/>
          <w:sz w:val="22"/>
          <w:szCs w:val="22"/>
          <w:lang w:eastAsia="en-US"/>
        </w:rPr>
      </w:pPr>
      <w:r w:rsidRPr="00F46D45">
        <w:rPr>
          <w:rFonts w:eastAsiaTheme="minorHAnsi"/>
          <w:color w:val="000000"/>
          <w:sz w:val="22"/>
          <w:szCs w:val="22"/>
          <w:lang w:eastAsia="en-US"/>
        </w:rPr>
        <w:t xml:space="preserve">Aspectos más relevantes </w:t>
      </w:r>
      <w:proofErr w:type="gramStart"/>
      <w:r w:rsidRPr="00F46D45">
        <w:rPr>
          <w:rFonts w:eastAsiaTheme="minorHAnsi"/>
          <w:color w:val="000000"/>
          <w:sz w:val="22"/>
          <w:szCs w:val="22"/>
          <w:lang w:eastAsia="en-US"/>
        </w:rPr>
        <w:t>a</w:t>
      </w:r>
      <w:proofErr w:type="gramEnd"/>
      <w:r w:rsidRPr="00F46D45">
        <w:rPr>
          <w:rFonts w:eastAsiaTheme="minorHAnsi"/>
          <w:color w:val="000000"/>
          <w:sz w:val="22"/>
          <w:szCs w:val="22"/>
          <w:lang w:eastAsia="en-US"/>
        </w:rPr>
        <w:t xml:space="preserve"> tener en cuenta en la atención a personas con discapacidades sensoriales, desde el servicio de ayuda a domicilio </w:t>
      </w:r>
    </w:p>
    <w:p w14:paraId="42EC2D5E" w14:textId="77777777" w:rsidR="00F46D45" w:rsidRPr="00F46D45" w:rsidRDefault="00F46D45" w:rsidP="00F46D45">
      <w:pPr>
        <w:autoSpaceDE w:val="0"/>
        <w:autoSpaceDN w:val="0"/>
        <w:adjustRightInd w:val="0"/>
        <w:ind w:left="567"/>
        <w:jc w:val="both"/>
        <w:rPr>
          <w:rFonts w:eastAsiaTheme="minorHAnsi"/>
          <w:color w:val="000000"/>
          <w:sz w:val="24"/>
          <w:szCs w:val="24"/>
          <w:lang w:eastAsia="en-US"/>
        </w:rPr>
      </w:pPr>
    </w:p>
    <w:p w14:paraId="79954889" w14:textId="77777777" w:rsidR="00F46D45" w:rsidRPr="00F46D45" w:rsidRDefault="00F46D45" w:rsidP="00F46D45">
      <w:pPr>
        <w:pStyle w:val="Prrafodelista"/>
        <w:numPr>
          <w:ilvl w:val="0"/>
          <w:numId w:val="3"/>
        </w:numPr>
        <w:autoSpaceDE w:val="0"/>
        <w:autoSpaceDN w:val="0"/>
        <w:adjustRightInd w:val="0"/>
        <w:jc w:val="both"/>
        <w:rPr>
          <w:rFonts w:eastAsiaTheme="minorHAnsi"/>
          <w:color w:val="000000"/>
          <w:sz w:val="22"/>
          <w:szCs w:val="22"/>
          <w:lang w:eastAsia="en-US"/>
        </w:rPr>
      </w:pPr>
      <w:r w:rsidRPr="00F46D45">
        <w:rPr>
          <w:rFonts w:eastAsiaTheme="minorHAnsi"/>
          <w:color w:val="000000"/>
          <w:sz w:val="22"/>
          <w:szCs w:val="22"/>
          <w:lang w:eastAsia="en-US"/>
        </w:rPr>
        <w:t xml:space="preserve">Aspectos más relevantes </w:t>
      </w:r>
      <w:proofErr w:type="gramStart"/>
      <w:r w:rsidRPr="00F46D45">
        <w:rPr>
          <w:rFonts w:eastAsiaTheme="minorHAnsi"/>
          <w:color w:val="000000"/>
          <w:sz w:val="22"/>
          <w:szCs w:val="22"/>
          <w:lang w:eastAsia="en-US"/>
        </w:rPr>
        <w:t>a</w:t>
      </w:r>
      <w:proofErr w:type="gramEnd"/>
      <w:r w:rsidRPr="00F46D45">
        <w:rPr>
          <w:rFonts w:eastAsiaTheme="minorHAnsi"/>
          <w:color w:val="000000"/>
          <w:sz w:val="22"/>
          <w:szCs w:val="22"/>
          <w:lang w:eastAsia="en-US"/>
        </w:rPr>
        <w:t xml:space="preserve"> tener en cuenta en la atención a personas con graves discapacidades y/o enfermedades degenerativas graves (tetraplejia, ELA, Corea de Huntington…), desde el servicio de ayuda a domicilio </w:t>
      </w:r>
    </w:p>
    <w:p w14:paraId="10C05FC7" w14:textId="77777777" w:rsidR="00F46D45" w:rsidRPr="00F46D45" w:rsidRDefault="00F46D45" w:rsidP="00F46D45">
      <w:pPr>
        <w:autoSpaceDE w:val="0"/>
        <w:autoSpaceDN w:val="0"/>
        <w:adjustRightInd w:val="0"/>
        <w:ind w:left="567"/>
        <w:jc w:val="both"/>
        <w:rPr>
          <w:rFonts w:eastAsiaTheme="minorHAnsi"/>
          <w:color w:val="000000"/>
          <w:sz w:val="24"/>
          <w:szCs w:val="24"/>
          <w:lang w:eastAsia="en-US"/>
        </w:rPr>
      </w:pPr>
    </w:p>
    <w:p w14:paraId="3F271D86" w14:textId="77777777" w:rsidR="00F46D45" w:rsidRPr="00F46D45" w:rsidRDefault="00F46D45" w:rsidP="00F46D45">
      <w:pPr>
        <w:pStyle w:val="Prrafodelista"/>
        <w:numPr>
          <w:ilvl w:val="0"/>
          <w:numId w:val="3"/>
        </w:numPr>
        <w:autoSpaceDE w:val="0"/>
        <w:autoSpaceDN w:val="0"/>
        <w:adjustRightInd w:val="0"/>
        <w:jc w:val="both"/>
        <w:rPr>
          <w:rFonts w:eastAsiaTheme="minorHAnsi"/>
          <w:color w:val="000000"/>
          <w:sz w:val="22"/>
          <w:szCs w:val="22"/>
          <w:lang w:eastAsia="en-US"/>
        </w:rPr>
      </w:pPr>
      <w:proofErr w:type="gramStart"/>
      <w:r w:rsidRPr="00F46D45">
        <w:rPr>
          <w:rFonts w:eastAsiaTheme="minorHAnsi"/>
          <w:color w:val="000000"/>
          <w:sz w:val="22"/>
          <w:szCs w:val="22"/>
          <w:lang w:eastAsia="en-US"/>
        </w:rPr>
        <w:t>Aspectos más relevantes a observar</w:t>
      </w:r>
      <w:proofErr w:type="gramEnd"/>
      <w:r w:rsidRPr="00F46D45">
        <w:rPr>
          <w:rFonts w:eastAsiaTheme="minorHAnsi"/>
          <w:color w:val="000000"/>
          <w:sz w:val="22"/>
          <w:szCs w:val="22"/>
          <w:lang w:eastAsia="en-US"/>
        </w:rPr>
        <w:t xml:space="preserve"> por las y los auxiliares domiciliarios para detección de malos tratos y/o violencia machista en el domicilio </w:t>
      </w:r>
    </w:p>
    <w:p w14:paraId="33D7D502" w14:textId="65E396E9" w:rsidR="00F46D45" w:rsidRPr="00F46D45" w:rsidRDefault="00F46D45" w:rsidP="00F46D45">
      <w:pPr>
        <w:ind w:left="567"/>
        <w:jc w:val="both"/>
        <w:rPr>
          <w:sz w:val="22"/>
          <w:szCs w:val="22"/>
        </w:rPr>
      </w:pPr>
    </w:p>
    <w:p w14:paraId="67214F25" w14:textId="3BC3BCFE" w:rsidR="00F46D45" w:rsidRPr="00F46D45" w:rsidRDefault="00F46D45" w:rsidP="00F46D45">
      <w:pPr>
        <w:ind w:left="567"/>
        <w:jc w:val="both"/>
        <w:rPr>
          <w:sz w:val="22"/>
          <w:szCs w:val="22"/>
        </w:rPr>
      </w:pPr>
      <w:r w:rsidRPr="00F46D45">
        <w:rPr>
          <w:sz w:val="22"/>
          <w:szCs w:val="22"/>
        </w:rPr>
        <w:t>Para obtener puntuación en este criterio, deberá presentarse el documento concreto con los contenidos del dosier, con obligación de redacción en un lenguaje inclusivo y no sexista. La extensión de cada dosier no deberá exceder de 5 páginas. Si supera dicho número de páginas, no obtendrá puntuación.</w:t>
      </w:r>
    </w:p>
    <w:p w14:paraId="5F362075" w14:textId="3A880D95" w:rsidR="00F46D45" w:rsidRPr="00F46D45" w:rsidRDefault="00F46D45" w:rsidP="00F46D45">
      <w:pPr>
        <w:ind w:left="567"/>
        <w:jc w:val="both"/>
        <w:rPr>
          <w:sz w:val="22"/>
          <w:szCs w:val="22"/>
        </w:rPr>
      </w:pPr>
    </w:p>
    <w:p w14:paraId="107DE83F" w14:textId="5F00D917" w:rsidR="00F46D45" w:rsidRPr="00F46D45" w:rsidRDefault="00F46D45" w:rsidP="00F46D45">
      <w:pPr>
        <w:ind w:left="567"/>
        <w:jc w:val="both"/>
        <w:rPr>
          <w:sz w:val="22"/>
          <w:szCs w:val="22"/>
        </w:rPr>
      </w:pPr>
      <w:r w:rsidRPr="00F46D45">
        <w:rPr>
          <w:sz w:val="22"/>
          <w:szCs w:val="22"/>
        </w:rPr>
        <w:t xml:space="preserve">Únicamente se valorará la adecuación o inadecuación de dichos documentos al servicio de ayuda a domicilio. Por lo tanto, se otorgarán 3 puntos a aquellos documentos que contemplen indicaciones específicas y diferenciadas para la atención desde el servicio de ayuda a domicilio a personas pertenecientes al colectivo del que se trate y 0 puntos a aquellos que solamente contemplen aspectos genéricos u otros </w:t>
      </w:r>
      <w:proofErr w:type="gramStart"/>
      <w:r w:rsidRPr="00F46D45">
        <w:rPr>
          <w:sz w:val="22"/>
          <w:szCs w:val="22"/>
        </w:rPr>
        <w:t>específicos</w:t>
      </w:r>
      <w:proofErr w:type="gramEnd"/>
      <w:r w:rsidRPr="00F46D45">
        <w:rPr>
          <w:sz w:val="22"/>
          <w:szCs w:val="22"/>
        </w:rPr>
        <w:t xml:space="preserve"> pero no adecuados a los contenidos del Servicio de Ayuda a Domicilio.</w:t>
      </w:r>
    </w:p>
    <w:p w14:paraId="3E952371" w14:textId="7A7D88F4" w:rsidR="00F46D45" w:rsidRPr="00F46D45" w:rsidRDefault="00F46D45" w:rsidP="00F46D45">
      <w:pPr>
        <w:ind w:left="567"/>
        <w:jc w:val="both"/>
        <w:rPr>
          <w:sz w:val="22"/>
          <w:szCs w:val="22"/>
        </w:rPr>
      </w:pPr>
    </w:p>
    <w:p w14:paraId="3CFBEFDA" w14:textId="27E02A2C" w:rsidR="00F46D45" w:rsidRPr="00F46D45" w:rsidRDefault="00F46D45" w:rsidP="00F46D45">
      <w:pPr>
        <w:ind w:left="567"/>
        <w:jc w:val="both"/>
        <w:rPr>
          <w:sz w:val="22"/>
          <w:szCs w:val="22"/>
        </w:rPr>
      </w:pPr>
      <w:r w:rsidRPr="00F46D45">
        <w:rPr>
          <w:sz w:val="22"/>
          <w:szCs w:val="22"/>
        </w:rPr>
        <w:t>Si se obtiene puntuación en este criterio y en fase de seguimiento de la ejecución del contrato se constata por parte del IFBS que los dosieres no son los valorados o no son entregados al personal de atención directa, se aplicarán las penalidades establecidas en el apartado U) de este cuadro de características</w:t>
      </w:r>
      <w:r w:rsidR="00F651A0">
        <w:rPr>
          <w:sz w:val="22"/>
          <w:szCs w:val="22"/>
        </w:rPr>
        <w:t>.”</w:t>
      </w:r>
    </w:p>
    <w:p w14:paraId="5E1E9A6F" w14:textId="77777777" w:rsidR="004B0F2F" w:rsidRDefault="004B0F2F" w:rsidP="00871AA1">
      <w:pPr>
        <w:jc w:val="both"/>
        <w:rPr>
          <w:bCs/>
          <w:sz w:val="22"/>
          <w:szCs w:val="22"/>
        </w:rPr>
      </w:pPr>
    </w:p>
    <w:p w14:paraId="5B2DD754" w14:textId="79CD21C3" w:rsidR="0004618C" w:rsidRDefault="009B6B70" w:rsidP="00871AA1">
      <w:pPr>
        <w:jc w:val="both"/>
        <w:rPr>
          <w:bCs/>
          <w:sz w:val="22"/>
          <w:szCs w:val="22"/>
        </w:rPr>
      </w:pPr>
      <w:r>
        <w:rPr>
          <w:bCs/>
          <w:sz w:val="22"/>
          <w:szCs w:val="22"/>
        </w:rPr>
        <w:t>De lo transcrito resulta con claridad que este criterio de adjudicación valora con 3 puntos cada uno de los cinco dosieres que las licitadoras ofrezcan poner a disposición de su personal de atención directa</w:t>
      </w:r>
      <w:r w:rsidR="007477E4">
        <w:rPr>
          <w:bCs/>
          <w:sz w:val="22"/>
          <w:szCs w:val="22"/>
        </w:rPr>
        <w:t xml:space="preserve"> (siempre que sean considerados idóneos por la </w:t>
      </w:r>
      <w:r>
        <w:rPr>
          <w:bCs/>
          <w:sz w:val="22"/>
          <w:szCs w:val="22"/>
        </w:rPr>
        <w:t>mesa de contratación</w:t>
      </w:r>
      <w:r w:rsidR="007477E4">
        <w:rPr>
          <w:bCs/>
          <w:sz w:val="22"/>
          <w:szCs w:val="22"/>
        </w:rPr>
        <w:t>)</w:t>
      </w:r>
      <w:r w:rsidR="005F5D47">
        <w:rPr>
          <w:bCs/>
          <w:sz w:val="22"/>
          <w:szCs w:val="22"/>
        </w:rPr>
        <w:t>, con exclusión de valoraciones intermedias inferiores a 3 puntos.</w:t>
      </w:r>
    </w:p>
    <w:p w14:paraId="4642F1A3" w14:textId="113CCC1D" w:rsidR="005F5D47" w:rsidRDefault="005F5D47" w:rsidP="00871AA1">
      <w:pPr>
        <w:jc w:val="both"/>
        <w:rPr>
          <w:bCs/>
          <w:sz w:val="22"/>
          <w:szCs w:val="22"/>
        </w:rPr>
      </w:pPr>
    </w:p>
    <w:p w14:paraId="646F3C77" w14:textId="4DED82DB" w:rsidR="005F5D47" w:rsidRDefault="005F5D47" w:rsidP="00871AA1">
      <w:pPr>
        <w:jc w:val="both"/>
        <w:rPr>
          <w:bCs/>
          <w:sz w:val="22"/>
          <w:szCs w:val="22"/>
        </w:rPr>
      </w:pPr>
      <w:r>
        <w:rPr>
          <w:bCs/>
          <w:sz w:val="22"/>
          <w:szCs w:val="22"/>
        </w:rPr>
        <w:lastRenderedPageBreak/>
        <w:t xml:space="preserve">Al contrario de lo que afirma la recurrente, esta forma </w:t>
      </w:r>
      <w:r w:rsidR="00A30DAE">
        <w:rPr>
          <w:bCs/>
          <w:sz w:val="22"/>
          <w:szCs w:val="22"/>
        </w:rPr>
        <w:t xml:space="preserve">de </w:t>
      </w:r>
      <w:r w:rsidR="004A0075">
        <w:rPr>
          <w:bCs/>
          <w:sz w:val="22"/>
          <w:szCs w:val="22"/>
        </w:rPr>
        <w:t>puntuación</w:t>
      </w:r>
      <w:r>
        <w:rPr>
          <w:bCs/>
          <w:sz w:val="22"/>
          <w:szCs w:val="22"/>
        </w:rPr>
        <w:t xml:space="preserve"> no </w:t>
      </w:r>
      <w:r w:rsidR="007477E4">
        <w:rPr>
          <w:bCs/>
          <w:sz w:val="22"/>
          <w:szCs w:val="22"/>
        </w:rPr>
        <w:t xml:space="preserve">impide considerarla evaluación no mediante fórmulas (como la califica el cuadro de características), en la medida en que </w:t>
      </w:r>
      <w:r>
        <w:rPr>
          <w:bCs/>
          <w:sz w:val="22"/>
          <w:szCs w:val="22"/>
        </w:rPr>
        <w:t xml:space="preserve">exige la </w:t>
      </w:r>
      <w:r w:rsidR="007477E4">
        <w:rPr>
          <w:bCs/>
          <w:sz w:val="22"/>
          <w:szCs w:val="22"/>
        </w:rPr>
        <w:t xml:space="preserve">previa </w:t>
      </w:r>
      <w:r>
        <w:rPr>
          <w:bCs/>
          <w:sz w:val="22"/>
          <w:szCs w:val="22"/>
        </w:rPr>
        <w:t>apl</w:t>
      </w:r>
      <w:r w:rsidR="004A0075">
        <w:rPr>
          <w:bCs/>
          <w:sz w:val="22"/>
          <w:szCs w:val="22"/>
        </w:rPr>
        <w:t>icación de un razonamiento de tipo técnico</w:t>
      </w:r>
      <w:r w:rsidR="007477E4">
        <w:rPr>
          <w:bCs/>
          <w:sz w:val="22"/>
          <w:szCs w:val="22"/>
        </w:rPr>
        <w:t xml:space="preserve"> por parte de la mesa de contratación</w:t>
      </w:r>
      <w:r w:rsidR="004A0075">
        <w:rPr>
          <w:bCs/>
          <w:sz w:val="22"/>
          <w:szCs w:val="22"/>
        </w:rPr>
        <w:t xml:space="preserve">, encuadrable en el ámbito de la discrecionalidad técnica, </w:t>
      </w:r>
      <w:r w:rsidR="007477E4">
        <w:rPr>
          <w:bCs/>
          <w:sz w:val="22"/>
          <w:szCs w:val="22"/>
        </w:rPr>
        <w:t xml:space="preserve">acerca de </w:t>
      </w:r>
      <w:r w:rsidR="004A0075">
        <w:rPr>
          <w:bCs/>
          <w:sz w:val="22"/>
          <w:szCs w:val="22"/>
        </w:rPr>
        <w:t xml:space="preserve">la idoneidad de cada uno de los dosieres, de acuerdo con las pautas que al efecto se fijan en el cuadro de características, y siendo </w:t>
      </w:r>
      <w:r w:rsidR="00A30DAE">
        <w:rPr>
          <w:bCs/>
          <w:sz w:val="22"/>
          <w:szCs w:val="22"/>
        </w:rPr>
        <w:t xml:space="preserve">precisamente </w:t>
      </w:r>
      <w:r w:rsidR="004A0075">
        <w:rPr>
          <w:bCs/>
          <w:sz w:val="22"/>
          <w:szCs w:val="22"/>
        </w:rPr>
        <w:t>est</w:t>
      </w:r>
      <w:r w:rsidR="00A30DAE">
        <w:rPr>
          <w:bCs/>
          <w:sz w:val="22"/>
          <w:szCs w:val="22"/>
        </w:rPr>
        <w:t>e</w:t>
      </w:r>
      <w:r w:rsidR="004A0075">
        <w:rPr>
          <w:bCs/>
          <w:sz w:val="22"/>
          <w:szCs w:val="22"/>
        </w:rPr>
        <w:t xml:space="preserve"> elemento de discrecionalidad técnica el </w:t>
      </w:r>
      <w:r w:rsidR="00A30DAE">
        <w:rPr>
          <w:bCs/>
          <w:sz w:val="22"/>
          <w:szCs w:val="22"/>
        </w:rPr>
        <w:t>que identifica específicamente</w:t>
      </w:r>
      <w:r w:rsidR="004A0075">
        <w:rPr>
          <w:bCs/>
          <w:sz w:val="22"/>
          <w:szCs w:val="22"/>
        </w:rPr>
        <w:t xml:space="preserve"> la regla de evaluación de los criterios de adjudicación mediante juicio de valor</w:t>
      </w:r>
      <w:r w:rsidR="00A30DAE">
        <w:rPr>
          <w:bCs/>
          <w:sz w:val="22"/>
          <w:szCs w:val="22"/>
        </w:rPr>
        <w:t>,</w:t>
      </w:r>
      <w:r w:rsidR="004A0075">
        <w:rPr>
          <w:bCs/>
          <w:sz w:val="22"/>
          <w:szCs w:val="22"/>
        </w:rPr>
        <w:t xml:space="preserve"> y que no </w:t>
      </w:r>
      <w:r w:rsidR="00A30DAE">
        <w:rPr>
          <w:bCs/>
          <w:sz w:val="22"/>
          <w:szCs w:val="22"/>
        </w:rPr>
        <w:t xml:space="preserve">está presente </w:t>
      </w:r>
      <w:r w:rsidR="004A0075">
        <w:rPr>
          <w:bCs/>
          <w:sz w:val="22"/>
          <w:szCs w:val="22"/>
        </w:rPr>
        <w:t>en la valoración automática o por fórmulas.</w:t>
      </w:r>
    </w:p>
    <w:p w14:paraId="6BD54C19" w14:textId="70D55942" w:rsidR="00A30DAE" w:rsidRDefault="00A30DAE" w:rsidP="00871AA1">
      <w:pPr>
        <w:jc w:val="both"/>
        <w:rPr>
          <w:bCs/>
          <w:sz w:val="22"/>
          <w:szCs w:val="22"/>
        </w:rPr>
      </w:pPr>
    </w:p>
    <w:p w14:paraId="17262378" w14:textId="4F5554B0" w:rsidR="00E32D3D" w:rsidRDefault="00A30DAE" w:rsidP="00871AA1">
      <w:pPr>
        <w:jc w:val="both"/>
        <w:rPr>
          <w:bCs/>
          <w:sz w:val="22"/>
          <w:szCs w:val="22"/>
        </w:rPr>
      </w:pPr>
      <w:r>
        <w:rPr>
          <w:bCs/>
          <w:sz w:val="22"/>
          <w:szCs w:val="22"/>
        </w:rPr>
        <w:t xml:space="preserve">En todo caso, como afirma </w:t>
      </w:r>
      <w:r w:rsidR="00FE71E4">
        <w:rPr>
          <w:bCs/>
          <w:sz w:val="22"/>
          <w:szCs w:val="22"/>
        </w:rPr>
        <w:t xml:space="preserve">el informe del Área de Contratación y Régimen Jurídico del IFBS, de </w:t>
      </w:r>
      <w:r w:rsidR="00DA47D7">
        <w:rPr>
          <w:bCs/>
          <w:sz w:val="22"/>
          <w:szCs w:val="22"/>
        </w:rPr>
        <w:t>3 de octubre de 2023</w:t>
      </w:r>
      <w:r w:rsidR="00FE71E4">
        <w:rPr>
          <w:bCs/>
          <w:sz w:val="22"/>
          <w:szCs w:val="22"/>
        </w:rPr>
        <w:t xml:space="preserve">, no </w:t>
      </w:r>
      <w:r w:rsidR="00DA47D7">
        <w:rPr>
          <w:bCs/>
          <w:sz w:val="22"/>
          <w:szCs w:val="22"/>
        </w:rPr>
        <w:t>podría</w:t>
      </w:r>
      <w:r w:rsidR="00FE71E4">
        <w:rPr>
          <w:bCs/>
          <w:sz w:val="22"/>
          <w:szCs w:val="22"/>
        </w:rPr>
        <w:t xml:space="preserve"> pretenderse </w:t>
      </w:r>
      <w:r w:rsidR="00374540">
        <w:rPr>
          <w:bCs/>
          <w:sz w:val="22"/>
          <w:szCs w:val="22"/>
        </w:rPr>
        <w:t xml:space="preserve">ahora, con ocasión de la adjudicación del contrato, </w:t>
      </w:r>
      <w:r w:rsidR="00FE71E4">
        <w:rPr>
          <w:bCs/>
          <w:sz w:val="22"/>
          <w:szCs w:val="22"/>
        </w:rPr>
        <w:t xml:space="preserve">alterar de cualquier modo las reglas </w:t>
      </w:r>
      <w:r w:rsidR="00374540">
        <w:rPr>
          <w:bCs/>
          <w:sz w:val="22"/>
          <w:szCs w:val="22"/>
        </w:rPr>
        <w:t xml:space="preserve">claramente </w:t>
      </w:r>
      <w:r w:rsidR="00FE71E4">
        <w:rPr>
          <w:bCs/>
          <w:sz w:val="22"/>
          <w:szCs w:val="22"/>
        </w:rPr>
        <w:t xml:space="preserve">establecidas en </w:t>
      </w:r>
      <w:r w:rsidR="00260EF1">
        <w:rPr>
          <w:bCs/>
          <w:sz w:val="22"/>
          <w:szCs w:val="22"/>
        </w:rPr>
        <w:t>el cuadro de características</w:t>
      </w:r>
      <w:r w:rsidR="00FE71E4">
        <w:rPr>
          <w:bCs/>
          <w:sz w:val="22"/>
          <w:szCs w:val="22"/>
        </w:rPr>
        <w:t xml:space="preserve"> </w:t>
      </w:r>
      <w:r w:rsidR="00374540">
        <w:rPr>
          <w:bCs/>
          <w:sz w:val="22"/>
          <w:szCs w:val="22"/>
        </w:rPr>
        <w:t>acerca del modo de evaluar las ofertas, pues ello supondría una extemporánea impugnación indirecta de los pliegos</w:t>
      </w:r>
      <w:r w:rsidR="00260EF1">
        <w:rPr>
          <w:bCs/>
          <w:sz w:val="22"/>
          <w:szCs w:val="22"/>
        </w:rPr>
        <w:t xml:space="preserve"> d</w:t>
      </w:r>
      <w:r w:rsidR="00CE5CCD">
        <w:rPr>
          <w:bCs/>
          <w:sz w:val="22"/>
          <w:szCs w:val="22"/>
        </w:rPr>
        <w:t>e</w:t>
      </w:r>
      <w:r w:rsidR="00260EF1">
        <w:rPr>
          <w:bCs/>
          <w:sz w:val="22"/>
          <w:szCs w:val="22"/>
        </w:rPr>
        <w:t>l contrato</w:t>
      </w:r>
      <w:r w:rsidR="00374540">
        <w:rPr>
          <w:bCs/>
          <w:sz w:val="22"/>
          <w:szCs w:val="22"/>
        </w:rPr>
        <w:t>, inadmisible, de conformidad con lo establecido en el artículo 139.1 LCSP</w:t>
      </w:r>
      <w:r w:rsidR="00DA47D7">
        <w:rPr>
          <w:bCs/>
          <w:sz w:val="22"/>
          <w:szCs w:val="22"/>
        </w:rPr>
        <w:t>, y en línea con la doctrina fijada</w:t>
      </w:r>
      <w:r w:rsidR="00374540">
        <w:rPr>
          <w:bCs/>
          <w:sz w:val="22"/>
          <w:szCs w:val="22"/>
        </w:rPr>
        <w:t xml:space="preserve">, entre muchas otras resoluciones, </w:t>
      </w:r>
      <w:r w:rsidR="00DA47D7">
        <w:rPr>
          <w:bCs/>
          <w:sz w:val="22"/>
          <w:szCs w:val="22"/>
        </w:rPr>
        <w:t xml:space="preserve">en </w:t>
      </w:r>
      <w:r w:rsidR="00374540">
        <w:rPr>
          <w:bCs/>
          <w:sz w:val="22"/>
          <w:szCs w:val="22"/>
        </w:rPr>
        <w:t xml:space="preserve">la STS 328/2021, de </w:t>
      </w:r>
      <w:r w:rsidR="00260EF1">
        <w:rPr>
          <w:bCs/>
          <w:sz w:val="22"/>
          <w:szCs w:val="22"/>
        </w:rPr>
        <w:t xml:space="preserve">22 de marzo, y </w:t>
      </w:r>
      <w:r w:rsidR="00DA47D7">
        <w:rPr>
          <w:bCs/>
          <w:sz w:val="22"/>
          <w:szCs w:val="22"/>
        </w:rPr>
        <w:t xml:space="preserve">en </w:t>
      </w:r>
      <w:r w:rsidR="00260EF1">
        <w:rPr>
          <w:bCs/>
          <w:sz w:val="22"/>
          <w:szCs w:val="22"/>
        </w:rPr>
        <w:t xml:space="preserve">la </w:t>
      </w:r>
      <w:r w:rsidR="00CE5CCD">
        <w:rPr>
          <w:bCs/>
          <w:sz w:val="22"/>
          <w:szCs w:val="22"/>
        </w:rPr>
        <w:t>resoluci</w:t>
      </w:r>
      <w:r w:rsidR="00DA47D7">
        <w:rPr>
          <w:bCs/>
          <w:sz w:val="22"/>
          <w:szCs w:val="22"/>
        </w:rPr>
        <w:t>ón</w:t>
      </w:r>
      <w:r w:rsidR="00CE5CCD">
        <w:rPr>
          <w:bCs/>
          <w:sz w:val="22"/>
          <w:szCs w:val="22"/>
        </w:rPr>
        <w:t xml:space="preserve"> del </w:t>
      </w:r>
      <w:r w:rsidR="00260EF1">
        <w:rPr>
          <w:bCs/>
          <w:sz w:val="22"/>
          <w:szCs w:val="22"/>
        </w:rPr>
        <w:t>TACRC 929/202</w:t>
      </w:r>
      <w:r w:rsidR="001C6DDB">
        <w:rPr>
          <w:bCs/>
          <w:sz w:val="22"/>
          <w:szCs w:val="22"/>
        </w:rPr>
        <w:t>2</w:t>
      </w:r>
      <w:r w:rsidR="00260EF1">
        <w:rPr>
          <w:bCs/>
          <w:sz w:val="22"/>
          <w:szCs w:val="22"/>
        </w:rPr>
        <w:t xml:space="preserve">, de 21 de julio, </w:t>
      </w:r>
      <w:r w:rsidR="001C6DDB">
        <w:rPr>
          <w:bCs/>
          <w:sz w:val="22"/>
          <w:szCs w:val="22"/>
        </w:rPr>
        <w:t>según la cual:</w:t>
      </w:r>
    </w:p>
    <w:p w14:paraId="3F7E8DA0" w14:textId="750C18A6" w:rsidR="001C6DDB" w:rsidRDefault="001C6DDB" w:rsidP="00871AA1">
      <w:pPr>
        <w:jc w:val="both"/>
        <w:rPr>
          <w:bCs/>
          <w:sz w:val="22"/>
          <w:szCs w:val="22"/>
        </w:rPr>
      </w:pPr>
    </w:p>
    <w:p w14:paraId="6C1A9D3A" w14:textId="2E66460D" w:rsidR="001C6DDB" w:rsidRPr="001C6DDB" w:rsidRDefault="001C6DDB" w:rsidP="001C6DDB">
      <w:pPr>
        <w:ind w:left="567"/>
        <w:jc w:val="both"/>
        <w:rPr>
          <w:sz w:val="22"/>
          <w:szCs w:val="22"/>
        </w:rPr>
      </w:pPr>
      <w:r w:rsidRPr="001C6DDB">
        <w:rPr>
          <w:sz w:val="22"/>
          <w:szCs w:val="22"/>
        </w:rPr>
        <w:t>Sobre la impugnación indirecta de los pliegos, nos remitimos a lo dicho en la Resolución nº 540/2022 de 13 de mayo, dictada por este Tribunal en el Recurso nº 378/2022 C.A. Región de Murcia 42/2022, en el que señalamos que:</w:t>
      </w:r>
    </w:p>
    <w:p w14:paraId="249A36E4" w14:textId="4B389E52" w:rsidR="001C6DDB" w:rsidRPr="001C6DDB" w:rsidRDefault="001C6DDB" w:rsidP="001C6DDB">
      <w:pPr>
        <w:ind w:left="567"/>
        <w:jc w:val="both"/>
        <w:rPr>
          <w:sz w:val="22"/>
          <w:szCs w:val="22"/>
        </w:rPr>
      </w:pPr>
    </w:p>
    <w:p w14:paraId="561E934B" w14:textId="21D3A025" w:rsidR="001C6DDB" w:rsidRPr="001C6DDB" w:rsidRDefault="001C6DDB" w:rsidP="001C6DDB">
      <w:pPr>
        <w:ind w:left="567"/>
        <w:jc w:val="both"/>
        <w:rPr>
          <w:sz w:val="22"/>
          <w:szCs w:val="22"/>
        </w:rPr>
      </w:pPr>
      <w:r w:rsidRPr="001C6DDB">
        <w:rPr>
          <w:sz w:val="22"/>
          <w:szCs w:val="22"/>
        </w:rPr>
        <w:t>“Nos hallamos ante una impugnación extemporánea por la recurrente de los pliegos rectores de la licitación, pliegos que tienen la consideración de acto consentido y firme. A este respecto, debe recordarse lo establecido en el artículo 139.1 de la LCSP: «Las proposiciones de los interesados deberán ajustarse a los pliegos y documentación que rigen la licitación, y su presentación supone la aceptación incondicionada por el empresario del contenido de la totalidad de sus cláusulas o condiciones, sin salvedad o reserva alguna, así como la autorización a la mesa y al órgano de contratación para consultar los datos recogidos en el Registro Oficial de Licitadores y Empresas Clasificadas del Sector Público o en las listas oficiales de operadores económicos de un Estado miembro de la Unión Europea».</w:t>
      </w:r>
    </w:p>
    <w:p w14:paraId="4EB37B04" w14:textId="56831E8B" w:rsidR="001C6DDB" w:rsidRPr="001C6DDB" w:rsidRDefault="001C6DDB" w:rsidP="001C6DDB">
      <w:pPr>
        <w:ind w:left="567"/>
        <w:jc w:val="both"/>
        <w:rPr>
          <w:sz w:val="22"/>
          <w:szCs w:val="22"/>
        </w:rPr>
      </w:pPr>
    </w:p>
    <w:p w14:paraId="1C70D501" w14:textId="0110C9E0" w:rsidR="001C6DDB" w:rsidRPr="001C6DDB" w:rsidRDefault="001C6DDB" w:rsidP="001C6DDB">
      <w:pPr>
        <w:ind w:left="567"/>
        <w:jc w:val="both"/>
        <w:rPr>
          <w:bCs/>
          <w:sz w:val="22"/>
          <w:szCs w:val="22"/>
        </w:rPr>
      </w:pPr>
      <w:r w:rsidRPr="001C6DDB">
        <w:rPr>
          <w:sz w:val="22"/>
          <w:szCs w:val="22"/>
        </w:rPr>
        <w:t xml:space="preserve">Asimismo, debe tenerse en cuenta la doctrina de este Tribunal sobre la imposibilidad de impugnar los pliegos con ocasión del recurso interpuesto contra el acuerdo de adjudicación cuando aquellos no se impugnaron en el momento oportuno previsto en el artículo 50.1 b de la LCSP («El procedimiento de recurso se iniciará mediante escrito que deberá presentarse en el plazo de quince días hábiles. Dicho plazo se computará: b) Cuando el recurso se interponga contra el contenido de los pliegos y demás documentos contractuales, el cómputo se iniciará a partir del día siguiente a aquel en que se haya publicado en el perfil de contratante el anuncio de licitación, siempre que en este se haya indicado la forma en que los interesados pueden acceder a ellos. Cuando no se hiciera esta indicación el plazo comenzará a contar a partir del día siguiente a aquel en que se le hayan entregado al interesado los mismos o este haya podido acceder a su contenido a través del perfil de contratante»). Estas cuestiones se analizan, entre otras, en la Resolución 294/2019, en la que dijimos que: «Este Tribunal ha tenido ocasión de pronunciarse en multitud de ocasiones acerca de la cualidad de lex contractus de los pliegos, una vez éstos adquieran firmeza. En este sentido se ha pronunciado la Sentencia de la Sala de lo Contencioso Administrativo del Tribunal Supremo de 19 de marzo de 2001 y otras resoluciones de 6 de febrero de 2001, la conocida doctrina jurisprudencial en cuya virtud el pliego de condiciones constituye la </w:t>
      </w:r>
      <w:r w:rsidRPr="001C6DDB">
        <w:rPr>
          <w:sz w:val="22"/>
          <w:szCs w:val="22"/>
        </w:rPr>
        <w:lastRenderedPageBreak/>
        <w:t>Ley del Concurso, debiendo someterse a sus reglas tanto el organismo convocante como los que soliciten tomar parte en el mismo, especialmente cuando no hubieran impugnado previamente sus bases, pues, en efecto, si una entidad licitante se somete al concurso tal y como ha sido convocado, sin impugnar, en ningún momento, las condiciones y bases por las que se rija, tomando parte en el mismo, con presentación de su correspondiente oferta y prestando su consentimiento tanto a las propias prescripciones de la licitación como a la participación de las restantes entidades, carecerá de legitimación para impugnarlo después, contraviniendo sus propios actos, cuando no resulte favorecida por las adjudicaciones que, obviamente, pretendía. Este criterio se mantiene en la resolución 321/2013, donde, con cita de la 178/2013, se precisa que la falta de impugnación de los pliegos hace «inviable la posibilidad de que se invoque posteriormente su supuesta improcedencia o ilegalidad para impugnar la adjudicación ya efectuada en favor de la proposición más conveniente a otro licitador, tanto más cuando que existe un trámite especialmente concebido para poder impugnar los citados Pliegos en su fase inicial mediante el recurso especial en materia de contratación contra “los anuncios de licitación, los pliegos y los documentos contractuales que establezcan las condiciones que deban regir la contratación»</w:t>
      </w:r>
    </w:p>
    <w:p w14:paraId="2AEBAEEC" w14:textId="2EA258F8" w:rsidR="00CE5CCD" w:rsidRDefault="00CE5CCD" w:rsidP="00871AA1">
      <w:pPr>
        <w:jc w:val="both"/>
        <w:rPr>
          <w:bCs/>
          <w:sz w:val="22"/>
          <w:szCs w:val="22"/>
        </w:rPr>
      </w:pPr>
    </w:p>
    <w:p w14:paraId="253BF5A4" w14:textId="2A790961" w:rsidR="00CE5CCD" w:rsidRDefault="00CE5CCD" w:rsidP="00871AA1">
      <w:pPr>
        <w:jc w:val="both"/>
        <w:rPr>
          <w:bCs/>
          <w:sz w:val="22"/>
          <w:szCs w:val="22"/>
        </w:rPr>
      </w:pPr>
      <w:r>
        <w:rPr>
          <w:bCs/>
          <w:sz w:val="22"/>
          <w:szCs w:val="22"/>
        </w:rPr>
        <w:t>Por lo demás, el examen de la valoración efectuada por la mesa de contratación en relación con el criterio especificado en el punto M</w:t>
      </w:r>
      <w:r w:rsidR="001D4CAB">
        <w:rPr>
          <w:bCs/>
          <w:sz w:val="22"/>
          <w:szCs w:val="22"/>
        </w:rPr>
        <w:t>.</w:t>
      </w:r>
      <w:r>
        <w:rPr>
          <w:bCs/>
          <w:sz w:val="22"/>
          <w:szCs w:val="22"/>
        </w:rPr>
        <w:t>6 del cuadro de características al que se refiere este punto</w:t>
      </w:r>
      <w:r w:rsidR="00455380">
        <w:rPr>
          <w:bCs/>
          <w:sz w:val="22"/>
          <w:szCs w:val="22"/>
        </w:rPr>
        <w:t xml:space="preserve">, que se circunscribe al juicio de adecuación o inadecuación de los dosieres, según las pautas establecidas a estos efectos, es un juicio de naturaleza técnica sujeto al principio de discrecionalidad técnica, </w:t>
      </w:r>
      <w:r w:rsidR="00C65886">
        <w:rPr>
          <w:bCs/>
          <w:sz w:val="22"/>
          <w:szCs w:val="22"/>
        </w:rPr>
        <w:t xml:space="preserve">tal y como han alegado las licitadoras interesadas que han comparecido en el presente recurso especial, </w:t>
      </w:r>
      <w:r w:rsidR="00455380">
        <w:rPr>
          <w:bCs/>
          <w:sz w:val="22"/>
          <w:szCs w:val="22"/>
        </w:rPr>
        <w:t>y cuya revisión vía recurso especial está sujeta a las limitaciones doctrinalmente reconocidas</w:t>
      </w:r>
      <w:r w:rsidR="002879FD">
        <w:rPr>
          <w:bCs/>
          <w:sz w:val="22"/>
          <w:szCs w:val="22"/>
        </w:rPr>
        <w:t>, entre otras, en la resolución 690/2022, de 8 de junio, del TACRC, según la cual:</w:t>
      </w:r>
    </w:p>
    <w:p w14:paraId="3A3CD1AD" w14:textId="4A44B795" w:rsidR="00850CA3" w:rsidRDefault="00850CA3" w:rsidP="00871AA1">
      <w:pPr>
        <w:jc w:val="both"/>
        <w:rPr>
          <w:bCs/>
          <w:sz w:val="22"/>
          <w:szCs w:val="22"/>
        </w:rPr>
      </w:pPr>
    </w:p>
    <w:p w14:paraId="4943B1E2" w14:textId="26B45B86" w:rsidR="00850CA3" w:rsidRPr="001C6DDB" w:rsidRDefault="002879FD" w:rsidP="002879FD">
      <w:pPr>
        <w:ind w:left="567"/>
        <w:jc w:val="both"/>
        <w:rPr>
          <w:bCs/>
          <w:sz w:val="22"/>
          <w:szCs w:val="22"/>
        </w:rPr>
      </w:pPr>
      <w:r w:rsidRPr="001C6DDB">
        <w:rPr>
          <w:sz w:val="22"/>
          <w:szCs w:val="22"/>
        </w:rPr>
        <w:t xml:space="preserve">[…] tratándose de cuestiones que se evalúan aplicando criterios estrictamente técnicos, el Tribunal no puede corregirlos aplicando criterios jurídicos. No se quiere decir con ello que el resultado de estas valoraciones no pueda ser objeto de análisis por parte de este Tribunal, sino que este análisis, en la medida en que entrañe criterios técnicos, como es el caso, debe quedar limitado de forma exclusiva a los aspectos formales de la valoración, tales como las normas de competencia o de procedimiento, a que en la valoración no se hayan aplicado criterios de arbitrariedad o discriminatorios o que finalmente no se haya incurrido en error material al efectuarla. Así, por ejemplo, en la Resolución </w:t>
      </w:r>
      <w:proofErr w:type="spellStart"/>
      <w:r w:rsidRPr="001C6DDB">
        <w:rPr>
          <w:sz w:val="22"/>
          <w:szCs w:val="22"/>
        </w:rPr>
        <w:t>n°</w:t>
      </w:r>
      <w:proofErr w:type="spellEnd"/>
      <w:r w:rsidRPr="001C6DDB">
        <w:rPr>
          <w:sz w:val="22"/>
          <w:szCs w:val="22"/>
        </w:rPr>
        <w:t xml:space="preserve"> 516/2016 ya razonábamos que ‘la función de este Tribunal no es la de suplantar el acierto técnico en la valoración de las propuestas técnicas, sino comprobar que tal valoración se ha ajustado a la legalidad, por ser coherente con los pliegos y la normativa de aplicación, y por ser suficientemente motivada</w:t>
      </w:r>
      <w:r w:rsidR="00C20748">
        <w:rPr>
          <w:sz w:val="22"/>
          <w:szCs w:val="22"/>
        </w:rPr>
        <w:t>.</w:t>
      </w:r>
    </w:p>
    <w:p w14:paraId="352D6815" w14:textId="12F171C5" w:rsidR="00374540" w:rsidRDefault="00374540" w:rsidP="00871AA1">
      <w:pPr>
        <w:jc w:val="both"/>
        <w:rPr>
          <w:bCs/>
          <w:sz w:val="22"/>
          <w:szCs w:val="22"/>
        </w:rPr>
      </w:pPr>
    </w:p>
    <w:p w14:paraId="53A64C09" w14:textId="288B2D4A" w:rsidR="000C2687" w:rsidRDefault="00E979F1" w:rsidP="00871AA1">
      <w:pPr>
        <w:jc w:val="both"/>
        <w:rPr>
          <w:bCs/>
          <w:sz w:val="22"/>
          <w:szCs w:val="22"/>
        </w:rPr>
      </w:pPr>
      <w:r>
        <w:rPr>
          <w:bCs/>
          <w:sz w:val="22"/>
          <w:szCs w:val="22"/>
        </w:rPr>
        <w:t>Pues bien, dentro del marco conceptual expuesto deben examinarse las alegaciones efectuadas en relación con este punto por la recurrente</w:t>
      </w:r>
      <w:r w:rsidR="001219E1">
        <w:rPr>
          <w:bCs/>
          <w:sz w:val="22"/>
          <w:szCs w:val="22"/>
        </w:rPr>
        <w:t>, quien entiende que</w:t>
      </w:r>
      <w:r w:rsidR="00872ED8">
        <w:rPr>
          <w:bCs/>
          <w:sz w:val="22"/>
          <w:szCs w:val="22"/>
        </w:rPr>
        <w:t>, de acuerdo con el cuadro de características,</w:t>
      </w:r>
      <w:r w:rsidR="001219E1">
        <w:rPr>
          <w:bCs/>
          <w:sz w:val="22"/>
          <w:szCs w:val="22"/>
        </w:rPr>
        <w:t xml:space="preserve"> no puede asignarse 3 puntos a cada uno de los dosieres ofertados por SACYR SOCIAL S.L. y ZAINTZEN, S.A. en la medida en que los mismos contienen principios orientadores e indicaciones generales</w:t>
      </w:r>
      <w:r w:rsidR="00872ED8">
        <w:rPr>
          <w:bCs/>
          <w:sz w:val="22"/>
          <w:szCs w:val="22"/>
        </w:rPr>
        <w:t>.</w:t>
      </w:r>
    </w:p>
    <w:p w14:paraId="7E552F1E" w14:textId="24FD9DCB" w:rsidR="00872ED8" w:rsidRDefault="00872ED8" w:rsidP="00871AA1">
      <w:pPr>
        <w:jc w:val="both"/>
        <w:rPr>
          <w:bCs/>
          <w:sz w:val="22"/>
          <w:szCs w:val="22"/>
        </w:rPr>
      </w:pPr>
    </w:p>
    <w:p w14:paraId="599DD63F" w14:textId="16381AEE" w:rsidR="00872ED8" w:rsidRDefault="00872ED8" w:rsidP="00871AA1">
      <w:pPr>
        <w:jc w:val="both"/>
        <w:rPr>
          <w:sz w:val="22"/>
          <w:szCs w:val="22"/>
        </w:rPr>
      </w:pPr>
      <w:r>
        <w:rPr>
          <w:bCs/>
          <w:sz w:val="22"/>
          <w:szCs w:val="22"/>
        </w:rPr>
        <w:t xml:space="preserve">Sin embargo, el cuadro de características no </w:t>
      </w:r>
      <w:r w:rsidR="00962A18">
        <w:rPr>
          <w:bCs/>
          <w:sz w:val="22"/>
          <w:szCs w:val="22"/>
        </w:rPr>
        <w:t>admite</w:t>
      </w:r>
      <w:r>
        <w:rPr>
          <w:bCs/>
          <w:sz w:val="22"/>
          <w:szCs w:val="22"/>
        </w:rPr>
        <w:t xml:space="preserve"> la lectura </w:t>
      </w:r>
      <w:r w:rsidR="00DA47D7">
        <w:rPr>
          <w:bCs/>
          <w:sz w:val="22"/>
          <w:szCs w:val="22"/>
        </w:rPr>
        <w:t xml:space="preserve">reduccionista </w:t>
      </w:r>
      <w:r>
        <w:rPr>
          <w:bCs/>
          <w:sz w:val="22"/>
          <w:szCs w:val="22"/>
        </w:rPr>
        <w:t xml:space="preserve">que hace la recurrente, </w:t>
      </w:r>
      <w:r w:rsidR="00DA47D7">
        <w:rPr>
          <w:bCs/>
          <w:sz w:val="22"/>
          <w:szCs w:val="22"/>
        </w:rPr>
        <w:t>ya que permite</w:t>
      </w:r>
      <w:r w:rsidR="0020517C">
        <w:rPr>
          <w:bCs/>
          <w:sz w:val="22"/>
          <w:szCs w:val="22"/>
        </w:rPr>
        <w:t xml:space="preserve"> asigna</w:t>
      </w:r>
      <w:r w:rsidR="00DA47D7">
        <w:rPr>
          <w:bCs/>
          <w:sz w:val="22"/>
          <w:szCs w:val="22"/>
        </w:rPr>
        <w:t>r</w:t>
      </w:r>
      <w:r w:rsidR="0020517C">
        <w:rPr>
          <w:bCs/>
          <w:sz w:val="22"/>
          <w:szCs w:val="22"/>
        </w:rPr>
        <w:t xml:space="preserve"> 3 puntos a aquellos dosieres que </w:t>
      </w:r>
      <w:r w:rsidR="00F651A0">
        <w:rPr>
          <w:bCs/>
          <w:sz w:val="22"/>
          <w:szCs w:val="22"/>
        </w:rPr>
        <w:t>“</w:t>
      </w:r>
      <w:r w:rsidR="0020517C" w:rsidRPr="00F46D45">
        <w:rPr>
          <w:sz w:val="22"/>
          <w:szCs w:val="22"/>
        </w:rPr>
        <w:t>que contemplen indicaciones específicas y diferenciadas para la atención desde el servicio de ayuda a domicilio a personas pertenecientes al colectivo del que se trate</w:t>
      </w:r>
      <w:r w:rsidR="00F651A0">
        <w:rPr>
          <w:sz w:val="22"/>
          <w:szCs w:val="22"/>
        </w:rPr>
        <w:t>”</w:t>
      </w:r>
      <w:r w:rsidR="0020517C">
        <w:rPr>
          <w:sz w:val="22"/>
          <w:szCs w:val="22"/>
        </w:rPr>
        <w:t xml:space="preserve"> e</w:t>
      </w:r>
      <w:r>
        <w:rPr>
          <w:bCs/>
          <w:sz w:val="22"/>
          <w:szCs w:val="22"/>
        </w:rPr>
        <w:t xml:space="preserve"> impide asignar puntuación </w:t>
      </w:r>
      <w:r w:rsidR="0020517C">
        <w:rPr>
          <w:bCs/>
          <w:sz w:val="22"/>
          <w:szCs w:val="22"/>
        </w:rPr>
        <w:t xml:space="preserve">a aquellos otros </w:t>
      </w:r>
      <w:r w:rsidR="00F651A0">
        <w:rPr>
          <w:bCs/>
          <w:sz w:val="22"/>
          <w:szCs w:val="22"/>
        </w:rPr>
        <w:t>“</w:t>
      </w:r>
      <w:r w:rsidR="0020517C" w:rsidRPr="00F46D45">
        <w:rPr>
          <w:sz w:val="22"/>
          <w:szCs w:val="22"/>
        </w:rPr>
        <w:t xml:space="preserve">que </w:t>
      </w:r>
      <w:r w:rsidR="0020517C" w:rsidRPr="0020517C">
        <w:rPr>
          <w:sz w:val="22"/>
          <w:szCs w:val="22"/>
          <w:u w:val="single"/>
        </w:rPr>
        <w:t>solamente</w:t>
      </w:r>
      <w:r w:rsidR="0020517C" w:rsidRPr="00F46D45">
        <w:rPr>
          <w:sz w:val="22"/>
          <w:szCs w:val="22"/>
        </w:rPr>
        <w:t xml:space="preserve"> </w:t>
      </w:r>
      <w:r w:rsidR="0020517C" w:rsidRPr="00F46D45">
        <w:rPr>
          <w:sz w:val="22"/>
          <w:szCs w:val="22"/>
        </w:rPr>
        <w:lastRenderedPageBreak/>
        <w:t>contemplen aspectos genéricos u otros específicos, pero no adecuados a los contenidos del Servicio de Ayuda a Domicilio</w:t>
      </w:r>
      <w:r w:rsidR="00F651A0">
        <w:rPr>
          <w:sz w:val="22"/>
          <w:szCs w:val="22"/>
        </w:rPr>
        <w:t>”</w:t>
      </w:r>
      <w:r w:rsidR="0020517C">
        <w:rPr>
          <w:sz w:val="22"/>
          <w:szCs w:val="22"/>
        </w:rPr>
        <w:t xml:space="preserve">. Es decir, </w:t>
      </w:r>
      <w:r w:rsidR="00962A18">
        <w:rPr>
          <w:sz w:val="22"/>
          <w:szCs w:val="22"/>
        </w:rPr>
        <w:t xml:space="preserve">no admite discusión que </w:t>
      </w:r>
      <w:r w:rsidR="0020517C">
        <w:rPr>
          <w:sz w:val="22"/>
          <w:szCs w:val="22"/>
        </w:rPr>
        <w:t xml:space="preserve">la incorporación de pautas </w:t>
      </w:r>
      <w:r w:rsidR="00064A8E">
        <w:rPr>
          <w:sz w:val="22"/>
          <w:szCs w:val="22"/>
        </w:rPr>
        <w:t xml:space="preserve">o aspectos </w:t>
      </w:r>
      <w:r w:rsidR="0020517C">
        <w:rPr>
          <w:sz w:val="22"/>
          <w:szCs w:val="22"/>
        </w:rPr>
        <w:t>generales en los dosieres no resta puntos, siempre que</w:t>
      </w:r>
      <w:r w:rsidR="00237B40">
        <w:rPr>
          <w:sz w:val="22"/>
          <w:szCs w:val="22"/>
        </w:rPr>
        <w:t xml:space="preserve">, junto a estas, </w:t>
      </w:r>
      <w:r w:rsidR="00064A8E">
        <w:rPr>
          <w:sz w:val="22"/>
          <w:szCs w:val="22"/>
        </w:rPr>
        <w:t xml:space="preserve">aquellos </w:t>
      </w:r>
      <w:r w:rsidR="00237B40">
        <w:rPr>
          <w:sz w:val="22"/>
          <w:szCs w:val="22"/>
        </w:rPr>
        <w:t>contengan</w:t>
      </w:r>
      <w:r w:rsidR="0020517C">
        <w:rPr>
          <w:sz w:val="22"/>
          <w:szCs w:val="22"/>
        </w:rPr>
        <w:t xml:space="preserve"> indicaciones específicas adecuadas al SAD</w:t>
      </w:r>
      <w:r w:rsidR="00064A8E">
        <w:rPr>
          <w:sz w:val="22"/>
          <w:szCs w:val="22"/>
        </w:rPr>
        <w:t>, a juicio de la mesa de contratación</w:t>
      </w:r>
      <w:r w:rsidR="0020517C">
        <w:rPr>
          <w:sz w:val="22"/>
          <w:szCs w:val="22"/>
        </w:rPr>
        <w:t>.</w:t>
      </w:r>
    </w:p>
    <w:p w14:paraId="5AF7DDBE" w14:textId="7202A886" w:rsidR="009E22C8" w:rsidRDefault="009E22C8" w:rsidP="00871AA1">
      <w:pPr>
        <w:jc w:val="both"/>
        <w:rPr>
          <w:sz w:val="22"/>
          <w:szCs w:val="22"/>
        </w:rPr>
      </w:pPr>
    </w:p>
    <w:p w14:paraId="6B080919" w14:textId="35D9DE0E" w:rsidR="009E22C8" w:rsidRDefault="00C20748" w:rsidP="00871AA1">
      <w:pPr>
        <w:jc w:val="both"/>
        <w:rPr>
          <w:sz w:val="22"/>
          <w:szCs w:val="22"/>
        </w:rPr>
      </w:pPr>
      <w:r>
        <w:rPr>
          <w:sz w:val="22"/>
          <w:szCs w:val="22"/>
        </w:rPr>
        <w:t>En este sentido</w:t>
      </w:r>
      <w:r w:rsidR="00237B40">
        <w:rPr>
          <w:sz w:val="22"/>
          <w:szCs w:val="22"/>
        </w:rPr>
        <w:t xml:space="preserve">, </w:t>
      </w:r>
      <w:r w:rsidR="009E22C8">
        <w:rPr>
          <w:sz w:val="22"/>
          <w:szCs w:val="22"/>
        </w:rPr>
        <w:t>el informe del Área de Contratación y Régimen Jurídico del IFBS de 3 de octubre de 2023 pone de manifiesto</w:t>
      </w:r>
      <w:r w:rsidR="00237B40">
        <w:rPr>
          <w:sz w:val="22"/>
          <w:szCs w:val="22"/>
        </w:rPr>
        <w:t xml:space="preserve">, </w:t>
      </w:r>
      <w:r>
        <w:rPr>
          <w:sz w:val="22"/>
          <w:szCs w:val="22"/>
        </w:rPr>
        <w:t>con transcripción del informe de valoración emitido por el Área de Intervención Social el 13 de julio de 2023,</w:t>
      </w:r>
      <w:r w:rsidR="009E22C8">
        <w:rPr>
          <w:sz w:val="22"/>
          <w:szCs w:val="22"/>
        </w:rPr>
        <w:t xml:space="preserve"> que la valoración efectuada de los dosieres presentados por SACYR SOCIAL, S.L. está motivada en que </w:t>
      </w:r>
      <w:r w:rsidR="00F651A0">
        <w:rPr>
          <w:sz w:val="22"/>
          <w:szCs w:val="22"/>
        </w:rPr>
        <w:t>“</w:t>
      </w:r>
      <w:r w:rsidR="009E22C8">
        <w:rPr>
          <w:sz w:val="22"/>
          <w:szCs w:val="22"/>
        </w:rPr>
        <w:t xml:space="preserve">hacen una descripción de los aspectos más importantes que afectan al colectivo de que se trata, enumeran los principios orientadores de la atención, indicaciones generales y </w:t>
      </w:r>
      <w:r w:rsidR="009E22C8" w:rsidRPr="009E22C8">
        <w:rPr>
          <w:b/>
          <w:bCs/>
          <w:sz w:val="22"/>
          <w:szCs w:val="22"/>
        </w:rPr>
        <w:t>pautas preventivas y concretas de atención desde profesionales del SAD</w:t>
      </w:r>
      <w:r w:rsidR="009E22C8">
        <w:rPr>
          <w:sz w:val="22"/>
          <w:szCs w:val="22"/>
        </w:rPr>
        <w:t xml:space="preserve"> ante diferentes situaciones</w:t>
      </w:r>
      <w:r w:rsidR="00F651A0">
        <w:rPr>
          <w:sz w:val="22"/>
          <w:szCs w:val="22"/>
        </w:rPr>
        <w:t>”</w:t>
      </w:r>
      <w:r w:rsidR="009E22C8">
        <w:rPr>
          <w:sz w:val="22"/>
          <w:szCs w:val="22"/>
        </w:rPr>
        <w:t>. Y en relación con la oferta de ZAINTZEN</w:t>
      </w:r>
      <w:r w:rsidR="00237B40">
        <w:rPr>
          <w:sz w:val="22"/>
          <w:szCs w:val="22"/>
        </w:rPr>
        <w:t xml:space="preserve">, S.A., el mismo informe indica que la motivación de valoración asignada responde a que los dosieres presentados </w:t>
      </w:r>
      <w:r w:rsidR="00F651A0">
        <w:rPr>
          <w:sz w:val="22"/>
          <w:szCs w:val="22"/>
        </w:rPr>
        <w:t>“</w:t>
      </w:r>
      <w:r w:rsidR="00237B40" w:rsidRPr="00237B40">
        <w:rPr>
          <w:b/>
          <w:bCs/>
          <w:sz w:val="22"/>
          <w:szCs w:val="22"/>
        </w:rPr>
        <w:t>contemplan</w:t>
      </w:r>
      <w:r w:rsidR="00237B40">
        <w:rPr>
          <w:sz w:val="22"/>
          <w:szCs w:val="22"/>
        </w:rPr>
        <w:t xml:space="preserve"> aspectos generales en la intervención, información sobre diferentes tipologías del colectivo de personas a que hacen referencia, </w:t>
      </w:r>
      <w:r w:rsidR="00237B40" w:rsidRPr="00237B40">
        <w:rPr>
          <w:b/>
          <w:bCs/>
          <w:sz w:val="22"/>
          <w:szCs w:val="22"/>
        </w:rPr>
        <w:t>pautas</w:t>
      </w:r>
      <w:r w:rsidR="00237B40">
        <w:rPr>
          <w:sz w:val="22"/>
          <w:szCs w:val="22"/>
        </w:rPr>
        <w:t xml:space="preserve"> generales y </w:t>
      </w:r>
      <w:r w:rsidR="00237B40" w:rsidRPr="00237B40">
        <w:rPr>
          <w:b/>
          <w:bCs/>
          <w:sz w:val="22"/>
          <w:szCs w:val="22"/>
        </w:rPr>
        <w:t>específicas</w:t>
      </w:r>
      <w:r w:rsidR="00237B40">
        <w:rPr>
          <w:sz w:val="22"/>
          <w:szCs w:val="22"/>
        </w:rPr>
        <w:t xml:space="preserve"> en la intervención, evaluación y registros; se trata de pautas </w:t>
      </w:r>
      <w:r w:rsidR="00237B40" w:rsidRPr="00237B40">
        <w:rPr>
          <w:b/>
          <w:bCs/>
          <w:sz w:val="22"/>
          <w:szCs w:val="22"/>
        </w:rPr>
        <w:t>adecuadas y ajustadas a los contenidos de las diferentes situaciones y de las intervenciones profesionales desde el SAD</w:t>
      </w:r>
      <w:r w:rsidR="00F651A0">
        <w:rPr>
          <w:b/>
          <w:bCs/>
          <w:sz w:val="22"/>
          <w:szCs w:val="22"/>
        </w:rPr>
        <w:t>”</w:t>
      </w:r>
      <w:r w:rsidR="00237B40">
        <w:rPr>
          <w:sz w:val="22"/>
          <w:szCs w:val="22"/>
        </w:rPr>
        <w:t>.</w:t>
      </w:r>
    </w:p>
    <w:p w14:paraId="3E276B86" w14:textId="0954D9A9" w:rsidR="00120E8E" w:rsidRDefault="00120E8E" w:rsidP="00871AA1">
      <w:pPr>
        <w:jc w:val="both"/>
        <w:rPr>
          <w:sz w:val="22"/>
          <w:szCs w:val="22"/>
        </w:rPr>
      </w:pPr>
    </w:p>
    <w:p w14:paraId="172EE40A" w14:textId="63424DA1" w:rsidR="00120E8E" w:rsidRDefault="00120E8E" w:rsidP="00871AA1">
      <w:pPr>
        <w:jc w:val="both"/>
        <w:rPr>
          <w:sz w:val="22"/>
          <w:szCs w:val="22"/>
        </w:rPr>
      </w:pPr>
      <w:r>
        <w:rPr>
          <w:sz w:val="22"/>
          <w:szCs w:val="22"/>
        </w:rPr>
        <w:t>Debe observarse, por otra parte, que también la oferta presentada por la propia recurrente contiene pautas e indicaciones de tipo general en las que contextualiza las específicas adecuadas al SAD en relación con los supuestos exigidos por el cuadro de características, y que, al igual que las de las otras dos empresas interesadas, ha merecido una valoración positiva por parte del órgano de contratación.</w:t>
      </w:r>
    </w:p>
    <w:p w14:paraId="1C9C0264" w14:textId="28147F16" w:rsidR="00C20748" w:rsidRDefault="00C20748" w:rsidP="00871AA1">
      <w:pPr>
        <w:jc w:val="both"/>
        <w:rPr>
          <w:sz w:val="22"/>
          <w:szCs w:val="22"/>
        </w:rPr>
      </w:pPr>
    </w:p>
    <w:p w14:paraId="355C30C8" w14:textId="17020570" w:rsidR="00C20748" w:rsidRDefault="00C20748" w:rsidP="00871AA1">
      <w:pPr>
        <w:jc w:val="both"/>
        <w:rPr>
          <w:bCs/>
          <w:sz w:val="22"/>
          <w:szCs w:val="22"/>
        </w:rPr>
      </w:pPr>
      <w:r>
        <w:rPr>
          <w:sz w:val="22"/>
          <w:szCs w:val="22"/>
        </w:rPr>
        <w:t xml:space="preserve">Lo anterior permite </w:t>
      </w:r>
      <w:r w:rsidR="001754AC">
        <w:rPr>
          <w:sz w:val="22"/>
          <w:szCs w:val="22"/>
        </w:rPr>
        <w:t>afirmar</w:t>
      </w:r>
      <w:r>
        <w:rPr>
          <w:sz w:val="22"/>
          <w:szCs w:val="22"/>
        </w:rPr>
        <w:t xml:space="preserve"> que la valoración de las ofertas asumida por el órgano de contratación en relación con el criterio de adjudicación objeto de este punto</w:t>
      </w:r>
      <w:r w:rsidR="00F16190">
        <w:rPr>
          <w:sz w:val="22"/>
          <w:szCs w:val="22"/>
        </w:rPr>
        <w:t xml:space="preserve"> se ajusta a las previsiones de los pliegos del contrato, no incurre en error material y tampoco en arbitrariedad ni en discriminación de los licitadores, por lo que debe ser confirmada mediante la presente resolución</w:t>
      </w:r>
      <w:r w:rsidR="00064A8E">
        <w:rPr>
          <w:sz w:val="22"/>
          <w:szCs w:val="22"/>
        </w:rPr>
        <w:t xml:space="preserve"> desestimatoria del recurso especial</w:t>
      </w:r>
      <w:r w:rsidR="001754AC">
        <w:rPr>
          <w:sz w:val="22"/>
          <w:szCs w:val="22"/>
        </w:rPr>
        <w:t>.</w:t>
      </w:r>
    </w:p>
    <w:p w14:paraId="4EB59E6A" w14:textId="77777777" w:rsidR="00872ED8" w:rsidRDefault="00872ED8" w:rsidP="00871AA1">
      <w:pPr>
        <w:jc w:val="both"/>
        <w:rPr>
          <w:bCs/>
          <w:sz w:val="22"/>
          <w:szCs w:val="22"/>
        </w:rPr>
      </w:pPr>
    </w:p>
    <w:p w14:paraId="15CF5D69" w14:textId="1367B559" w:rsidR="00150761" w:rsidRDefault="001754AC" w:rsidP="00871AA1">
      <w:pPr>
        <w:jc w:val="both"/>
        <w:rPr>
          <w:bCs/>
          <w:sz w:val="22"/>
          <w:szCs w:val="22"/>
        </w:rPr>
      </w:pPr>
      <w:r>
        <w:rPr>
          <w:bCs/>
          <w:sz w:val="22"/>
          <w:szCs w:val="22"/>
        </w:rPr>
        <w:t>En su virtud</w:t>
      </w:r>
      <w:r w:rsidR="00871AA1">
        <w:rPr>
          <w:bCs/>
          <w:sz w:val="22"/>
          <w:szCs w:val="22"/>
        </w:rPr>
        <w:t>, este Órgano Administrativo Foral de Recursos Contractuales emite la siguiente</w:t>
      </w:r>
    </w:p>
    <w:p w14:paraId="3653A68E" w14:textId="77777777" w:rsidR="00871AA1" w:rsidRDefault="00871AA1" w:rsidP="001754AC">
      <w:pPr>
        <w:pStyle w:val="Textoindependiente"/>
        <w:spacing w:before="480" w:after="480"/>
        <w:jc w:val="center"/>
        <w:rPr>
          <w:rFonts w:ascii="Times New Roman" w:hAnsi="Times New Roman"/>
          <w:b/>
          <w:sz w:val="22"/>
        </w:rPr>
      </w:pPr>
      <w:r>
        <w:rPr>
          <w:rFonts w:ascii="Times New Roman" w:hAnsi="Times New Roman"/>
          <w:b/>
          <w:sz w:val="22"/>
        </w:rPr>
        <w:t>RESOLUCIÓN</w:t>
      </w:r>
    </w:p>
    <w:p w14:paraId="7B2C0125" w14:textId="109E4615" w:rsidR="00731FC9" w:rsidRDefault="00871AA1" w:rsidP="00871AA1">
      <w:pPr>
        <w:pStyle w:val="CM4"/>
        <w:spacing w:after="360"/>
        <w:jc w:val="both"/>
        <w:rPr>
          <w:rFonts w:ascii="Times New Roman" w:hAnsi="Times New Roman" w:cs="Times New Roman"/>
          <w:b/>
          <w:bCs/>
          <w:sz w:val="22"/>
          <w:szCs w:val="22"/>
        </w:rPr>
      </w:pPr>
      <w:proofErr w:type="gramStart"/>
      <w:r>
        <w:rPr>
          <w:rFonts w:ascii="Times New Roman" w:hAnsi="Times New Roman" w:cs="Times New Roman"/>
          <w:b/>
          <w:bCs/>
          <w:sz w:val="22"/>
          <w:szCs w:val="22"/>
        </w:rPr>
        <w:t>PRIMERO.–</w:t>
      </w:r>
      <w:proofErr w:type="gramEnd"/>
      <w:r>
        <w:rPr>
          <w:rFonts w:ascii="Times New Roman" w:hAnsi="Times New Roman" w:cs="Times New Roman"/>
          <w:b/>
          <w:bCs/>
          <w:sz w:val="22"/>
          <w:szCs w:val="22"/>
        </w:rPr>
        <w:t xml:space="preserve"> </w:t>
      </w:r>
      <w:r w:rsidR="00731FC9" w:rsidRPr="00731FC9">
        <w:rPr>
          <w:rFonts w:ascii="Times New Roman" w:hAnsi="Times New Roman" w:cs="Times New Roman"/>
          <w:sz w:val="22"/>
          <w:szCs w:val="22"/>
        </w:rPr>
        <w:t>Inadmitir</w:t>
      </w:r>
      <w:r w:rsidR="00962A18">
        <w:rPr>
          <w:rFonts w:ascii="Times New Roman" w:hAnsi="Times New Roman" w:cs="Times New Roman"/>
          <w:sz w:val="22"/>
          <w:szCs w:val="22"/>
        </w:rPr>
        <w:t xml:space="preserve">, en los términos expuestos en el anterior fundamento de derecho cuarto, la pretensión </w:t>
      </w:r>
      <w:r w:rsidR="00731FC9" w:rsidRPr="00731FC9">
        <w:rPr>
          <w:rFonts w:ascii="Times New Roman" w:hAnsi="Times New Roman" w:cs="Times New Roman"/>
          <w:sz w:val="22"/>
          <w:szCs w:val="22"/>
        </w:rPr>
        <w:t>de estimación parcial del recurso especial</w:t>
      </w:r>
      <w:r w:rsidR="00A72479">
        <w:rPr>
          <w:rFonts w:ascii="Times New Roman" w:hAnsi="Times New Roman" w:cs="Times New Roman"/>
          <w:sz w:val="22"/>
          <w:szCs w:val="22"/>
        </w:rPr>
        <w:t xml:space="preserve"> en materia de contratación</w:t>
      </w:r>
      <w:r w:rsidR="00731FC9" w:rsidRPr="00731FC9">
        <w:rPr>
          <w:rFonts w:ascii="Times New Roman" w:hAnsi="Times New Roman" w:cs="Times New Roman"/>
          <w:sz w:val="22"/>
          <w:szCs w:val="22"/>
        </w:rPr>
        <w:t>, en el sentido de excluir de la licitación a la empresa adjudicataria, formulada por la interesada ZAINTZEN, S.L.</w:t>
      </w:r>
      <w:r w:rsidR="0033314E">
        <w:rPr>
          <w:rFonts w:ascii="Times New Roman" w:hAnsi="Times New Roman" w:cs="Times New Roman"/>
          <w:sz w:val="22"/>
          <w:szCs w:val="22"/>
        </w:rPr>
        <w:t xml:space="preserve"> en su escrito de alegaciones</w:t>
      </w:r>
      <w:r w:rsidR="001754AC">
        <w:rPr>
          <w:rFonts w:ascii="Times New Roman" w:hAnsi="Times New Roman" w:cs="Times New Roman"/>
          <w:sz w:val="22"/>
          <w:szCs w:val="22"/>
        </w:rPr>
        <w:t>.</w:t>
      </w:r>
    </w:p>
    <w:p w14:paraId="4229635D" w14:textId="07225BC5" w:rsidR="00871AA1" w:rsidRPr="00A72479" w:rsidRDefault="00731FC9" w:rsidP="00871AA1">
      <w:pPr>
        <w:pStyle w:val="CM4"/>
        <w:spacing w:after="360"/>
        <w:jc w:val="both"/>
        <w:rPr>
          <w:rFonts w:ascii="Times New Roman" w:hAnsi="Times New Roman" w:cs="Times New Roman"/>
          <w:sz w:val="22"/>
          <w:szCs w:val="22"/>
        </w:rPr>
      </w:pPr>
      <w:proofErr w:type="gramStart"/>
      <w:r w:rsidRPr="00A72479">
        <w:rPr>
          <w:rFonts w:ascii="Times New Roman" w:hAnsi="Times New Roman" w:cs="Times New Roman"/>
          <w:b/>
          <w:bCs/>
          <w:sz w:val="22"/>
          <w:szCs w:val="22"/>
        </w:rPr>
        <w:t>SEGUNDO.-</w:t>
      </w:r>
      <w:proofErr w:type="gramEnd"/>
      <w:r w:rsidRPr="00A72479">
        <w:rPr>
          <w:rFonts w:ascii="Times New Roman" w:hAnsi="Times New Roman" w:cs="Times New Roman"/>
          <w:sz w:val="22"/>
          <w:szCs w:val="22"/>
        </w:rPr>
        <w:t xml:space="preserve"> </w:t>
      </w:r>
      <w:r w:rsidR="00A72479" w:rsidRPr="00A72479">
        <w:rPr>
          <w:rFonts w:ascii="Times New Roman" w:hAnsi="Times New Roman" w:cs="Times New Roman"/>
          <w:sz w:val="22"/>
          <w:szCs w:val="22"/>
        </w:rPr>
        <w:t>Desestimar</w:t>
      </w:r>
      <w:r w:rsidR="00871AA1" w:rsidRPr="00A72479">
        <w:rPr>
          <w:rFonts w:ascii="Times New Roman" w:hAnsi="Times New Roman" w:cs="Times New Roman"/>
          <w:sz w:val="22"/>
          <w:szCs w:val="22"/>
        </w:rPr>
        <w:t xml:space="preserve"> el recurso </w:t>
      </w:r>
      <w:r w:rsidR="0091039F" w:rsidRPr="00A72479">
        <w:rPr>
          <w:rFonts w:ascii="Times New Roman" w:hAnsi="Times New Roman" w:cs="Times New Roman"/>
          <w:sz w:val="22"/>
          <w:szCs w:val="22"/>
        </w:rPr>
        <w:t>e</w:t>
      </w:r>
      <w:r w:rsidR="00871AA1" w:rsidRPr="00A72479">
        <w:rPr>
          <w:rFonts w:ascii="Times New Roman" w:hAnsi="Times New Roman" w:cs="Times New Roman"/>
          <w:sz w:val="22"/>
          <w:szCs w:val="22"/>
        </w:rPr>
        <w:t xml:space="preserve">special en materia de contratación interpuesto </w:t>
      </w:r>
      <w:r w:rsidR="00A72479" w:rsidRPr="00A72479">
        <w:rPr>
          <w:rFonts w:ascii="Times New Roman" w:hAnsi="Times New Roman" w:cs="Times New Roman"/>
          <w:sz w:val="22"/>
        </w:rPr>
        <w:t>por D. Antonio Jesús Montoya García en representación de la mercantil PROTECCION GERIATRICA 2005, S.L.</w:t>
      </w:r>
      <w:r w:rsidR="00A72479">
        <w:rPr>
          <w:rFonts w:ascii="Times New Roman" w:hAnsi="Times New Roman" w:cs="Times New Roman"/>
          <w:sz w:val="22"/>
        </w:rPr>
        <w:t>,</w:t>
      </w:r>
      <w:r w:rsidR="00A72479" w:rsidRPr="00A72479">
        <w:rPr>
          <w:rFonts w:ascii="Times New Roman" w:hAnsi="Times New Roman" w:cs="Times New Roman"/>
          <w:bCs/>
          <w:sz w:val="22"/>
        </w:rPr>
        <w:t xml:space="preserve"> contra el Acuerdo del Consejo de Administración del Instituto Foral de Bienestar Social, </w:t>
      </w:r>
      <w:r w:rsidR="00D22BE4">
        <w:rPr>
          <w:rFonts w:ascii="Times New Roman" w:hAnsi="Times New Roman" w:cs="Times New Roman"/>
          <w:bCs/>
          <w:sz w:val="22"/>
        </w:rPr>
        <w:t xml:space="preserve">de 7 de septiembre de 2023, </w:t>
      </w:r>
      <w:r w:rsidR="00A72479" w:rsidRPr="00A72479">
        <w:rPr>
          <w:rFonts w:ascii="Times New Roman" w:hAnsi="Times New Roman" w:cs="Times New Roman"/>
          <w:bCs/>
          <w:sz w:val="22"/>
        </w:rPr>
        <w:t>por el que se adjudica el lote 3</w:t>
      </w:r>
      <w:r w:rsidR="00D22BE4">
        <w:rPr>
          <w:rFonts w:ascii="Times New Roman" w:hAnsi="Times New Roman" w:cs="Times New Roman"/>
          <w:bCs/>
          <w:sz w:val="22"/>
        </w:rPr>
        <w:t>:</w:t>
      </w:r>
      <w:r w:rsidR="00A72479" w:rsidRPr="00A72479">
        <w:rPr>
          <w:rFonts w:ascii="Times New Roman" w:hAnsi="Times New Roman" w:cs="Times New Roman"/>
          <w:bCs/>
          <w:sz w:val="22"/>
        </w:rPr>
        <w:t xml:space="preserve"> Cuadrilla de Añana y </w:t>
      </w:r>
      <w:proofErr w:type="spellStart"/>
      <w:r w:rsidR="00A72479" w:rsidRPr="00A72479">
        <w:rPr>
          <w:rFonts w:ascii="Times New Roman" w:hAnsi="Times New Roman" w:cs="Times New Roman"/>
          <w:bCs/>
          <w:sz w:val="22"/>
        </w:rPr>
        <w:t>Gorbeialdea</w:t>
      </w:r>
      <w:proofErr w:type="spellEnd"/>
      <w:r w:rsidR="00D22BE4">
        <w:rPr>
          <w:rFonts w:ascii="Times New Roman" w:hAnsi="Times New Roman" w:cs="Times New Roman"/>
          <w:bCs/>
          <w:sz w:val="22"/>
        </w:rPr>
        <w:t>,</w:t>
      </w:r>
      <w:r w:rsidR="00A72479" w:rsidRPr="00A72479">
        <w:rPr>
          <w:rFonts w:ascii="Times New Roman" w:hAnsi="Times New Roman" w:cs="Times New Roman"/>
          <w:bCs/>
          <w:sz w:val="22"/>
        </w:rPr>
        <w:t xml:space="preserve"> del servicio de ayuda a domicilio en el Territorio Histórico de Álava</w:t>
      </w:r>
      <w:r w:rsidR="00871AA1" w:rsidRPr="00A72479">
        <w:rPr>
          <w:rFonts w:ascii="Times New Roman" w:hAnsi="Times New Roman" w:cs="Times New Roman"/>
          <w:sz w:val="22"/>
          <w:szCs w:val="22"/>
        </w:rPr>
        <w:t>.</w:t>
      </w:r>
    </w:p>
    <w:p w14:paraId="48D5AF17" w14:textId="0159B65F" w:rsidR="00871AA1" w:rsidRDefault="00A72479" w:rsidP="00871AA1">
      <w:pPr>
        <w:pStyle w:val="CM4"/>
        <w:spacing w:after="360"/>
        <w:jc w:val="both"/>
        <w:rPr>
          <w:rFonts w:ascii="Times New Roman" w:hAnsi="Times New Roman" w:cs="Times New Roman"/>
          <w:sz w:val="22"/>
          <w:szCs w:val="22"/>
        </w:rPr>
      </w:pPr>
      <w:proofErr w:type="gramStart"/>
      <w:r>
        <w:rPr>
          <w:rFonts w:ascii="Times New Roman" w:hAnsi="Times New Roman" w:cs="Times New Roman"/>
          <w:b/>
          <w:sz w:val="22"/>
          <w:szCs w:val="22"/>
        </w:rPr>
        <w:lastRenderedPageBreak/>
        <w:t>TERCERO</w:t>
      </w:r>
      <w:r w:rsidR="00871AA1">
        <w:rPr>
          <w:rFonts w:ascii="Times New Roman" w:hAnsi="Times New Roman" w:cs="Times New Roman"/>
          <w:b/>
          <w:sz w:val="22"/>
          <w:szCs w:val="22"/>
        </w:rPr>
        <w:t>.-</w:t>
      </w:r>
      <w:proofErr w:type="gramEnd"/>
      <w:r w:rsidR="00871AA1">
        <w:rPr>
          <w:rFonts w:ascii="Times New Roman" w:hAnsi="Times New Roman" w:cs="Times New Roman"/>
          <w:sz w:val="22"/>
          <w:szCs w:val="22"/>
        </w:rPr>
        <w:t xml:space="preserve"> Levantar la suspensión cautelar acordada por Resolución </w:t>
      </w:r>
      <w:r>
        <w:rPr>
          <w:rFonts w:ascii="Times New Roman" w:hAnsi="Times New Roman" w:cs="Times New Roman"/>
          <w:sz w:val="22"/>
          <w:szCs w:val="22"/>
        </w:rPr>
        <w:t>8</w:t>
      </w:r>
      <w:r w:rsidR="00871AA1">
        <w:rPr>
          <w:rFonts w:ascii="Times New Roman" w:hAnsi="Times New Roman" w:cs="Times New Roman"/>
          <w:sz w:val="22"/>
          <w:szCs w:val="22"/>
        </w:rPr>
        <w:t>/202</w:t>
      </w:r>
      <w:r w:rsidR="0091039F">
        <w:rPr>
          <w:rFonts w:ascii="Times New Roman" w:hAnsi="Times New Roman" w:cs="Times New Roman"/>
          <w:sz w:val="22"/>
          <w:szCs w:val="22"/>
        </w:rPr>
        <w:t>3</w:t>
      </w:r>
      <w:r w:rsidR="00871AA1">
        <w:rPr>
          <w:rFonts w:ascii="Times New Roman" w:hAnsi="Times New Roman" w:cs="Times New Roman"/>
          <w:sz w:val="22"/>
          <w:szCs w:val="22"/>
        </w:rPr>
        <w:t xml:space="preserve">, de </w:t>
      </w:r>
      <w:r>
        <w:rPr>
          <w:rFonts w:ascii="Times New Roman" w:hAnsi="Times New Roman" w:cs="Times New Roman"/>
          <w:sz w:val="22"/>
          <w:szCs w:val="22"/>
        </w:rPr>
        <w:t>18</w:t>
      </w:r>
      <w:r w:rsidR="00871AA1">
        <w:rPr>
          <w:rFonts w:ascii="Times New Roman" w:hAnsi="Times New Roman" w:cs="Times New Roman"/>
          <w:sz w:val="22"/>
          <w:szCs w:val="22"/>
        </w:rPr>
        <w:t xml:space="preserve"> de </w:t>
      </w:r>
      <w:r w:rsidR="0091039F">
        <w:rPr>
          <w:rFonts w:ascii="Times New Roman" w:hAnsi="Times New Roman" w:cs="Times New Roman"/>
          <w:sz w:val="22"/>
          <w:szCs w:val="22"/>
        </w:rPr>
        <w:t>octubre</w:t>
      </w:r>
      <w:r w:rsidR="00871AA1">
        <w:rPr>
          <w:rFonts w:ascii="Times New Roman" w:hAnsi="Times New Roman" w:cs="Times New Roman"/>
          <w:sz w:val="22"/>
          <w:szCs w:val="22"/>
        </w:rPr>
        <w:t>.</w:t>
      </w:r>
    </w:p>
    <w:p w14:paraId="48AAEA0F" w14:textId="291F17B5" w:rsidR="00871AA1" w:rsidRDefault="00A72479" w:rsidP="00871AA1">
      <w:pPr>
        <w:pStyle w:val="CM1"/>
        <w:spacing w:after="360" w:line="240" w:lineRule="auto"/>
        <w:jc w:val="both"/>
        <w:rPr>
          <w:rFonts w:ascii="Times New Roman" w:hAnsi="Times New Roman" w:cs="Times New Roman"/>
          <w:sz w:val="22"/>
          <w:szCs w:val="22"/>
        </w:rPr>
      </w:pPr>
      <w:proofErr w:type="gramStart"/>
      <w:r>
        <w:rPr>
          <w:rFonts w:ascii="Times New Roman" w:hAnsi="Times New Roman" w:cs="Times New Roman"/>
          <w:b/>
          <w:bCs/>
          <w:sz w:val="22"/>
          <w:szCs w:val="22"/>
        </w:rPr>
        <w:t>CUARTO</w:t>
      </w:r>
      <w:r w:rsidR="00871AA1">
        <w:rPr>
          <w:rFonts w:ascii="Times New Roman" w:hAnsi="Times New Roman" w:cs="Times New Roman"/>
          <w:b/>
          <w:bCs/>
          <w:sz w:val="22"/>
          <w:szCs w:val="22"/>
        </w:rPr>
        <w:t>.-</w:t>
      </w:r>
      <w:proofErr w:type="gramEnd"/>
      <w:r w:rsidR="00871AA1">
        <w:rPr>
          <w:rFonts w:ascii="Times New Roman" w:hAnsi="Times New Roman" w:cs="Times New Roman"/>
          <w:b/>
          <w:bCs/>
          <w:sz w:val="22"/>
          <w:szCs w:val="22"/>
        </w:rPr>
        <w:t xml:space="preserve"> </w:t>
      </w:r>
      <w:r>
        <w:rPr>
          <w:rFonts w:ascii="Times New Roman" w:hAnsi="Times New Roman" w:cs="Times New Roman"/>
          <w:sz w:val="22"/>
          <w:szCs w:val="22"/>
        </w:rPr>
        <w:t>No</w:t>
      </w:r>
      <w:r w:rsidR="00871AA1">
        <w:rPr>
          <w:rFonts w:ascii="Times New Roman" w:hAnsi="Times New Roman" w:cs="Times New Roman"/>
          <w:sz w:val="22"/>
          <w:szCs w:val="22"/>
        </w:rPr>
        <w:t xml:space="preserve"> se aprecia la concurrencia de mala fe o temeridad en la interposición del recurso, por lo que no procede la imposición de sanción prevista en el artículo 58.2 de la LCSP.</w:t>
      </w:r>
    </w:p>
    <w:p w14:paraId="5FE22015" w14:textId="77777777" w:rsidR="00871AA1" w:rsidRPr="007F6FCB" w:rsidRDefault="00871AA1" w:rsidP="007F6FCB">
      <w:pPr>
        <w:jc w:val="both"/>
        <w:rPr>
          <w:bCs/>
          <w:sz w:val="22"/>
          <w:szCs w:val="22"/>
        </w:rPr>
      </w:pPr>
      <w:r w:rsidRPr="007F6FCB">
        <w:rPr>
          <w:bCs/>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1C104395" w14:textId="7400A50B" w:rsidR="006604C7" w:rsidRDefault="006604C7"/>
    <w:p w14:paraId="57C8915A" w14:textId="447D1B5D" w:rsidR="00D44891" w:rsidRDefault="00D44891"/>
    <w:p w14:paraId="2439745F" w14:textId="77777777" w:rsidR="00F45A0E" w:rsidRDefault="00F45A0E" w:rsidP="00F45A0E">
      <w:pPr>
        <w:rPr>
          <w:sz w:val="24"/>
          <w:szCs w:val="24"/>
        </w:rPr>
      </w:pPr>
    </w:p>
    <w:sectPr w:rsidR="00F45A0E">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54056" w14:textId="77777777" w:rsidR="00B67B3F" w:rsidRDefault="00F45A0E">
      <w:r>
        <w:separator/>
      </w:r>
    </w:p>
  </w:endnote>
  <w:endnote w:type="continuationSeparator" w:id="0">
    <w:p w14:paraId="3F157227" w14:textId="77777777" w:rsidR="00B67B3F" w:rsidRDefault="00F4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30770"/>
      <w:docPartObj>
        <w:docPartGallery w:val="Page Numbers (Bottom of Page)"/>
        <w:docPartUnique/>
      </w:docPartObj>
    </w:sdtPr>
    <w:sdtEndPr/>
    <w:sdtContent>
      <w:p w14:paraId="61DF0376" w14:textId="77777777" w:rsidR="00A5693A" w:rsidRDefault="00E359EC">
        <w:pPr>
          <w:pStyle w:val="Piedepgina"/>
          <w:jc w:val="right"/>
        </w:pPr>
        <w:r>
          <w:fldChar w:fldCharType="begin"/>
        </w:r>
        <w:r>
          <w:instrText>PAGE   \* MERGEFORMAT</w:instrText>
        </w:r>
        <w:r>
          <w:fldChar w:fldCharType="separate"/>
        </w:r>
        <w:r>
          <w:rPr>
            <w:noProof/>
          </w:rPr>
          <w:t>3</w:t>
        </w:r>
        <w:r>
          <w:fldChar w:fldCharType="end"/>
        </w:r>
      </w:p>
    </w:sdtContent>
  </w:sdt>
  <w:p w14:paraId="4394BAD5" w14:textId="77777777" w:rsidR="00A5693A" w:rsidRDefault="00E43F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7DE4" w14:textId="77777777" w:rsidR="00B67B3F" w:rsidRDefault="00F45A0E">
      <w:r>
        <w:separator/>
      </w:r>
    </w:p>
  </w:footnote>
  <w:footnote w:type="continuationSeparator" w:id="0">
    <w:p w14:paraId="1C7A6BCA" w14:textId="77777777" w:rsidR="00B67B3F" w:rsidRDefault="00F4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A5693A" w:rsidRPr="00814F6B" w14:paraId="00118F86" w14:textId="77777777" w:rsidTr="00A5693A">
      <w:tc>
        <w:tcPr>
          <w:tcW w:w="4890" w:type="dxa"/>
        </w:tcPr>
        <w:p w14:paraId="00F5AF48" w14:textId="77777777" w:rsidR="00A5693A" w:rsidRPr="00814F6B" w:rsidRDefault="00E359EC" w:rsidP="00A5693A">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400B4F68" wp14:editId="0CF22B8A">
                <wp:extent cx="20764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6C5214FA" w14:textId="77777777" w:rsidR="00A5693A" w:rsidRPr="00814F6B" w:rsidRDefault="00E43FBE" w:rsidP="00A5693A">
          <w:pPr>
            <w:tabs>
              <w:tab w:val="center" w:pos="4819"/>
              <w:tab w:val="right" w:pos="9071"/>
            </w:tabs>
            <w:ind w:left="1064"/>
            <w:rPr>
              <w:rFonts w:ascii="Arial" w:hAnsi="Arial"/>
              <w:noProof/>
              <w:sz w:val="16"/>
              <w:lang w:val="es-ES_tradnl"/>
            </w:rPr>
          </w:pPr>
        </w:p>
      </w:tc>
      <w:tc>
        <w:tcPr>
          <w:tcW w:w="4961" w:type="dxa"/>
        </w:tcPr>
        <w:p w14:paraId="23FBA107" w14:textId="77777777" w:rsidR="00A5693A" w:rsidRPr="00814F6B" w:rsidRDefault="00E43FBE" w:rsidP="00A5693A">
          <w:pPr>
            <w:tabs>
              <w:tab w:val="center" w:pos="4819"/>
              <w:tab w:val="right" w:pos="9071"/>
            </w:tabs>
            <w:spacing w:after="40" w:line="240" w:lineRule="exact"/>
            <w:ind w:left="-68"/>
            <w:rPr>
              <w:rFonts w:ascii="Arial" w:hAnsi="Arial"/>
              <w:b/>
              <w:noProof/>
              <w:sz w:val="18"/>
              <w:lang w:val="es-ES_tradnl"/>
            </w:rPr>
          </w:pPr>
        </w:p>
        <w:p w14:paraId="075D3F45" w14:textId="77777777" w:rsidR="00A5693A" w:rsidRPr="00814F6B" w:rsidRDefault="00E359EC" w:rsidP="00A5693A">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1F50F69C" w14:textId="77777777" w:rsidR="00A5693A" w:rsidRPr="00814F6B" w:rsidRDefault="00E359EC" w:rsidP="00A5693A">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3CBBBAC8" w14:textId="77777777" w:rsidR="00A5693A" w:rsidRPr="00D70071" w:rsidRDefault="00E43FBE" w:rsidP="009C475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B7D41"/>
    <w:multiLevelType w:val="hybridMultilevel"/>
    <w:tmpl w:val="E6ECA832"/>
    <w:lvl w:ilvl="0" w:tplc="0E72A344">
      <w:start w:val="1"/>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478743E3"/>
    <w:multiLevelType w:val="hybridMultilevel"/>
    <w:tmpl w:val="DFBCAAAE"/>
    <w:lvl w:ilvl="0" w:tplc="0E72A344">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37114AC"/>
    <w:multiLevelType w:val="hybridMultilevel"/>
    <w:tmpl w:val="BDA638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4417048">
    <w:abstractNumId w:val="2"/>
  </w:num>
  <w:num w:numId="2" w16cid:durableId="1639676993">
    <w:abstractNumId w:val="1"/>
  </w:num>
  <w:num w:numId="3" w16cid:durableId="188805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A1"/>
    <w:rsid w:val="0004618C"/>
    <w:rsid w:val="0004709E"/>
    <w:rsid w:val="00064A8E"/>
    <w:rsid w:val="00086A67"/>
    <w:rsid w:val="000C2687"/>
    <w:rsid w:val="000E70E5"/>
    <w:rsid w:val="00107CAE"/>
    <w:rsid w:val="00116E31"/>
    <w:rsid w:val="00120E8E"/>
    <w:rsid w:val="001219E1"/>
    <w:rsid w:val="001255C9"/>
    <w:rsid w:val="00130EBE"/>
    <w:rsid w:val="00146227"/>
    <w:rsid w:val="00150761"/>
    <w:rsid w:val="00152063"/>
    <w:rsid w:val="001754AC"/>
    <w:rsid w:val="001C0E38"/>
    <w:rsid w:val="001C2C70"/>
    <w:rsid w:val="001C58E3"/>
    <w:rsid w:val="001C6DDB"/>
    <w:rsid w:val="001D2AFE"/>
    <w:rsid w:val="001D4CAB"/>
    <w:rsid w:val="001D68D5"/>
    <w:rsid w:val="0020386C"/>
    <w:rsid w:val="0020517C"/>
    <w:rsid w:val="00214D9F"/>
    <w:rsid w:val="00237B40"/>
    <w:rsid w:val="0025180F"/>
    <w:rsid w:val="00260EF1"/>
    <w:rsid w:val="002617DF"/>
    <w:rsid w:val="002746CA"/>
    <w:rsid w:val="002757DF"/>
    <w:rsid w:val="002879FD"/>
    <w:rsid w:val="002B638E"/>
    <w:rsid w:val="002C3784"/>
    <w:rsid w:val="00317EC4"/>
    <w:rsid w:val="0033314E"/>
    <w:rsid w:val="003565DE"/>
    <w:rsid w:val="00363B91"/>
    <w:rsid w:val="00374540"/>
    <w:rsid w:val="003A1E2A"/>
    <w:rsid w:val="003D3F7B"/>
    <w:rsid w:val="004068A5"/>
    <w:rsid w:val="00416709"/>
    <w:rsid w:val="00425252"/>
    <w:rsid w:val="00433C04"/>
    <w:rsid w:val="00436444"/>
    <w:rsid w:val="00455380"/>
    <w:rsid w:val="00481E6A"/>
    <w:rsid w:val="00484562"/>
    <w:rsid w:val="00496C91"/>
    <w:rsid w:val="00496E48"/>
    <w:rsid w:val="004A0075"/>
    <w:rsid w:val="004B0F2F"/>
    <w:rsid w:val="00540022"/>
    <w:rsid w:val="00555A7F"/>
    <w:rsid w:val="00572010"/>
    <w:rsid w:val="00572953"/>
    <w:rsid w:val="005A5033"/>
    <w:rsid w:val="005B30F2"/>
    <w:rsid w:val="005B3E34"/>
    <w:rsid w:val="005B6A30"/>
    <w:rsid w:val="005D7E53"/>
    <w:rsid w:val="005E63D5"/>
    <w:rsid w:val="005F5D47"/>
    <w:rsid w:val="006170CA"/>
    <w:rsid w:val="006604C7"/>
    <w:rsid w:val="006C7B01"/>
    <w:rsid w:val="006D34CE"/>
    <w:rsid w:val="00716203"/>
    <w:rsid w:val="00722B3A"/>
    <w:rsid w:val="00731FC9"/>
    <w:rsid w:val="00732C16"/>
    <w:rsid w:val="00737318"/>
    <w:rsid w:val="00744D9B"/>
    <w:rsid w:val="00746007"/>
    <w:rsid w:val="007477E4"/>
    <w:rsid w:val="00756896"/>
    <w:rsid w:val="007603D4"/>
    <w:rsid w:val="00775AD3"/>
    <w:rsid w:val="00793F97"/>
    <w:rsid w:val="007A1CD8"/>
    <w:rsid w:val="007D0714"/>
    <w:rsid w:val="007E0A26"/>
    <w:rsid w:val="007F6FCB"/>
    <w:rsid w:val="00811E19"/>
    <w:rsid w:val="00837953"/>
    <w:rsid w:val="00850CA3"/>
    <w:rsid w:val="00856CF2"/>
    <w:rsid w:val="00871AA1"/>
    <w:rsid w:val="00872ED8"/>
    <w:rsid w:val="0091039F"/>
    <w:rsid w:val="0092049D"/>
    <w:rsid w:val="0094009B"/>
    <w:rsid w:val="00941296"/>
    <w:rsid w:val="00962A18"/>
    <w:rsid w:val="00970D91"/>
    <w:rsid w:val="00977447"/>
    <w:rsid w:val="009777B4"/>
    <w:rsid w:val="00982D9D"/>
    <w:rsid w:val="009B6B70"/>
    <w:rsid w:val="009D4AC8"/>
    <w:rsid w:val="009E22C8"/>
    <w:rsid w:val="00A26138"/>
    <w:rsid w:val="00A30DAE"/>
    <w:rsid w:val="00A72479"/>
    <w:rsid w:val="00A82374"/>
    <w:rsid w:val="00A96547"/>
    <w:rsid w:val="00AA4E53"/>
    <w:rsid w:val="00AD0EB7"/>
    <w:rsid w:val="00AF785A"/>
    <w:rsid w:val="00B00E87"/>
    <w:rsid w:val="00B12CDA"/>
    <w:rsid w:val="00B31F05"/>
    <w:rsid w:val="00B47BEB"/>
    <w:rsid w:val="00B67B3F"/>
    <w:rsid w:val="00BE0EE5"/>
    <w:rsid w:val="00BE2D5E"/>
    <w:rsid w:val="00BF1CF8"/>
    <w:rsid w:val="00BF5872"/>
    <w:rsid w:val="00C20748"/>
    <w:rsid w:val="00C60125"/>
    <w:rsid w:val="00C60511"/>
    <w:rsid w:val="00C65021"/>
    <w:rsid w:val="00C65886"/>
    <w:rsid w:val="00C91B95"/>
    <w:rsid w:val="00CE5CCD"/>
    <w:rsid w:val="00CF6671"/>
    <w:rsid w:val="00D12E5C"/>
    <w:rsid w:val="00D164D1"/>
    <w:rsid w:val="00D22BE4"/>
    <w:rsid w:val="00D44891"/>
    <w:rsid w:val="00D7678C"/>
    <w:rsid w:val="00DA47D7"/>
    <w:rsid w:val="00DA51A0"/>
    <w:rsid w:val="00DA5364"/>
    <w:rsid w:val="00DC7523"/>
    <w:rsid w:val="00DD474C"/>
    <w:rsid w:val="00DE0ED4"/>
    <w:rsid w:val="00DF6A52"/>
    <w:rsid w:val="00E32D3D"/>
    <w:rsid w:val="00E359EC"/>
    <w:rsid w:val="00E36CF4"/>
    <w:rsid w:val="00E43FBE"/>
    <w:rsid w:val="00E6665E"/>
    <w:rsid w:val="00E972CD"/>
    <w:rsid w:val="00E979F1"/>
    <w:rsid w:val="00EA4758"/>
    <w:rsid w:val="00EF6A1E"/>
    <w:rsid w:val="00F0554A"/>
    <w:rsid w:val="00F16190"/>
    <w:rsid w:val="00F31CA0"/>
    <w:rsid w:val="00F349A2"/>
    <w:rsid w:val="00F445D9"/>
    <w:rsid w:val="00F45A0E"/>
    <w:rsid w:val="00F46D45"/>
    <w:rsid w:val="00F651A0"/>
    <w:rsid w:val="00F723D0"/>
    <w:rsid w:val="00F8209A"/>
    <w:rsid w:val="00F83BF6"/>
    <w:rsid w:val="00FA482C"/>
    <w:rsid w:val="00FE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9579"/>
  <w15:chartTrackingRefBased/>
  <w15:docId w15:val="{06B3B88E-8D8C-4254-8F2C-1502004D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AA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871AA1"/>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1AA1"/>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871AA1"/>
    <w:pPr>
      <w:tabs>
        <w:tab w:val="center" w:pos="4252"/>
        <w:tab w:val="right" w:pos="8504"/>
      </w:tabs>
    </w:pPr>
  </w:style>
  <w:style w:type="character" w:customStyle="1" w:styleId="PiedepginaCar">
    <w:name w:val="Pie de página Car"/>
    <w:basedOn w:val="Fuentedeprrafopredeter"/>
    <w:link w:val="Piedepgina"/>
    <w:uiPriority w:val="99"/>
    <w:rsid w:val="00871AA1"/>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nhideWhenUsed/>
    <w:rsid w:val="00871AA1"/>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rsid w:val="00871AA1"/>
    <w:rPr>
      <w:rFonts w:ascii="Arial" w:eastAsia="Times New Roman" w:hAnsi="Arial" w:cs="Times New Roman"/>
      <w:sz w:val="26"/>
      <w:szCs w:val="20"/>
      <w:lang w:val="es-ES_tradnl" w:eastAsia="es-ES"/>
    </w:rPr>
  </w:style>
  <w:style w:type="paragraph" w:customStyle="1" w:styleId="Estilo1">
    <w:name w:val="Estilo1"/>
    <w:basedOn w:val="Normal"/>
    <w:rsid w:val="00871AA1"/>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871AA1"/>
    <w:pPr>
      <w:tabs>
        <w:tab w:val="center" w:pos="4252"/>
        <w:tab w:val="right" w:pos="8504"/>
      </w:tabs>
    </w:pPr>
  </w:style>
  <w:style w:type="character" w:customStyle="1" w:styleId="EncabezadoCar">
    <w:name w:val="Encabezado Car"/>
    <w:basedOn w:val="Fuentedeprrafopredeter"/>
    <w:link w:val="Encabezado"/>
    <w:uiPriority w:val="99"/>
    <w:rsid w:val="00871AA1"/>
    <w:rPr>
      <w:rFonts w:ascii="Times New Roman" w:eastAsia="Times New Roman" w:hAnsi="Times New Roman" w:cs="Times New Roman"/>
      <w:sz w:val="20"/>
      <w:szCs w:val="20"/>
      <w:lang w:eastAsia="es-ES"/>
    </w:rPr>
  </w:style>
  <w:style w:type="paragraph" w:customStyle="1" w:styleId="CM1">
    <w:name w:val="CM1"/>
    <w:basedOn w:val="Normal"/>
    <w:next w:val="Normal"/>
    <w:uiPriority w:val="99"/>
    <w:rsid w:val="00871AA1"/>
    <w:pPr>
      <w:autoSpaceDE w:val="0"/>
      <w:autoSpaceDN w:val="0"/>
      <w:adjustRightInd w:val="0"/>
      <w:spacing w:line="380" w:lineRule="atLeast"/>
    </w:pPr>
    <w:rPr>
      <w:rFonts w:ascii="Arial" w:eastAsiaTheme="minorHAnsi" w:hAnsi="Arial" w:cs="Arial"/>
      <w:sz w:val="24"/>
      <w:szCs w:val="24"/>
      <w:lang w:eastAsia="en-US"/>
    </w:rPr>
  </w:style>
  <w:style w:type="paragraph" w:customStyle="1" w:styleId="CM4">
    <w:name w:val="CM4"/>
    <w:basedOn w:val="Normal"/>
    <w:next w:val="Normal"/>
    <w:uiPriority w:val="99"/>
    <w:rsid w:val="00871AA1"/>
    <w:pPr>
      <w:autoSpaceDE w:val="0"/>
      <w:autoSpaceDN w:val="0"/>
      <w:adjustRightInd w:val="0"/>
    </w:pPr>
    <w:rPr>
      <w:rFonts w:ascii="Arial" w:eastAsiaTheme="minorHAnsi" w:hAnsi="Arial" w:cs="Arial"/>
      <w:sz w:val="24"/>
      <w:szCs w:val="24"/>
      <w:lang w:eastAsia="en-US"/>
    </w:rPr>
  </w:style>
  <w:style w:type="paragraph" w:styleId="Prrafodelista">
    <w:name w:val="List Paragraph"/>
    <w:basedOn w:val="Normal"/>
    <w:uiPriority w:val="34"/>
    <w:qFormat/>
    <w:rsid w:val="00BE0EE5"/>
    <w:pPr>
      <w:ind w:left="720"/>
      <w:contextualSpacing/>
    </w:pPr>
  </w:style>
  <w:style w:type="paragraph" w:customStyle="1" w:styleId="Default">
    <w:name w:val="Default"/>
    <w:rsid w:val="005B3E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5245</Words>
  <Characters>28851</Characters>
  <Application>Microsoft Office Word</Application>
  <DocSecurity>4</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Urien Salterain, Karoline</cp:lastModifiedBy>
  <cp:revision>2</cp:revision>
  <cp:lastPrinted>2024-01-05T08:03:00Z</cp:lastPrinted>
  <dcterms:created xsi:type="dcterms:W3CDTF">2024-01-08T07:32:00Z</dcterms:created>
  <dcterms:modified xsi:type="dcterms:W3CDTF">2024-01-08T07:32:00Z</dcterms:modified>
</cp:coreProperties>
</file>