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F13A" w14:textId="4517FD97" w:rsidR="000B4298" w:rsidRPr="000B4298" w:rsidRDefault="000B4298" w:rsidP="00386026">
      <w:pPr>
        <w:tabs>
          <w:tab w:val="left" w:pos="567"/>
          <w:tab w:val="left" w:pos="850"/>
        </w:tabs>
        <w:jc w:val="center"/>
        <w:rPr>
          <w:rFonts w:cs="Arial"/>
          <w:sz w:val="36"/>
          <w:szCs w:val="36"/>
          <w:lang w:val="es-ES_tradnl" w:bidi="or-IN"/>
        </w:rPr>
      </w:pPr>
      <w:r w:rsidRPr="000B4298">
        <w:rPr>
          <w:rFonts w:cs="Arial"/>
          <w:sz w:val="36"/>
          <w:szCs w:val="36"/>
          <w:lang w:val="es-ES_tradnl" w:bidi="or-IN"/>
        </w:rPr>
        <w:t>RESOLUCIÓN</w:t>
      </w:r>
      <w:r w:rsidR="00386026">
        <w:rPr>
          <w:rFonts w:cs="Arial"/>
          <w:sz w:val="36"/>
          <w:szCs w:val="36"/>
          <w:lang w:val="es-ES_tradnl" w:bidi="or-IN"/>
        </w:rPr>
        <w:t xml:space="preserve"> 21 octubre 2022</w:t>
      </w:r>
    </w:p>
    <w:p w14:paraId="4FE73F0E" w14:textId="77777777" w:rsidR="000B4298" w:rsidRDefault="000B4298" w:rsidP="003A4B81">
      <w:pPr>
        <w:tabs>
          <w:tab w:val="left" w:pos="567"/>
          <w:tab w:val="left" w:pos="850"/>
        </w:tabs>
        <w:jc w:val="both"/>
        <w:rPr>
          <w:rFonts w:cs="Arial"/>
          <w:sz w:val="22"/>
          <w:szCs w:val="22"/>
          <w:lang w:val="es-ES_tradnl" w:bidi="or-IN"/>
        </w:rPr>
      </w:pPr>
    </w:p>
    <w:p w14:paraId="13B337B2" w14:textId="77777777" w:rsidR="00202B68" w:rsidRDefault="00202B68" w:rsidP="003A4B81">
      <w:pPr>
        <w:jc w:val="both"/>
        <w:rPr>
          <w:sz w:val="22"/>
          <w:szCs w:val="22"/>
          <w:lang w:val="es-ES_tradnl" w:bidi="or-IN"/>
        </w:rPr>
      </w:pPr>
    </w:p>
    <w:p w14:paraId="5D6C76B6" w14:textId="77777777" w:rsidR="004D6E8C" w:rsidRDefault="004D6E8C" w:rsidP="003A4B81">
      <w:pPr>
        <w:jc w:val="both"/>
        <w:rPr>
          <w:sz w:val="22"/>
          <w:szCs w:val="22"/>
          <w:lang w:val="es-ES_tradnl" w:bidi="or-IN"/>
        </w:rPr>
      </w:pPr>
    </w:p>
    <w:p w14:paraId="25131629" w14:textId="77777777" w:rsidR="004D6E8C" w:rsidRPr="00202B68" w:rsidRDefault="004D6E8C" w:rsidP="003A4B81">
      <w:pPr>
        <w:jc w:val="both"/>
        <w:rPr>
          <w:sz w:val="22"/>
          <w:szCs w:val="22"/>
          <w:lang w:val="es-ES_tradnl" w:bidi="or-IN"/>
        </w:rPr>
      </w:pPr>
    </w:p>
    <w:p w14:paraId="6845E7E7" w14:textId="2182B169" w:rsidR="004D6E8C" w:rsidRPr="000402EF" w:rsidRDefault="00202B68" w:rsidP="003A4B81">
      <w:pPr>
        <w:jc w:val="both"/>
        <w:rPr>
          <w:sz w:val="24"/>
          <w:szCs w:val="24"/>
          <w:lang w:val="es-ES_tradnl" w:bidi="or-IN"/>
        </w:rPr>
      </w:pPr>
      <w:r w:rsidRPr="000402EF">
        <w:rPr>
          <w:sz w:val="24"/>
          <w:szCs w:val="24"/>
          <w:lang w:val="es-ES_tradnl" w:bidi="or-IN"/>
        </w:rPr>
        <w:t xml:space="preserve">Vista ante este Consejo Foral de Transparencia reclamación interpuesta por </w:t>
      </w:r>
      <w:r w:rsidR="00BE399E" w:rsidRPr="00D2135B">
        <w:rPr>
          <w:b/>
          <w:bCs/>
          <w:sz w:val="24"/>
          <w:szCs w:val="24"/>
          <w:highlight w:val="black"/>
          <w:lang w:val="es-ES_tradnl" w:bidi="or-IN"/>
        </w:rPr>
        <w:t>XXXXX</w:t>
      </w:r>
      <w:r w:rsidR="004D6E8C" w:rsidRPr="000402EF">
        <w:rPr>
          <w:sz w:val="24"/>
          <w:szCs w:val="24"/>
          <w:lang w:val="es-ES_tradnl" w:bidi="or-IN"/>
        </w:rPr>
        <w:t xml:space="preserve">, DNI </w:t>
      </w:r>
      <w:r w:rsidR="00BE399E" w:rsidRPr="00D2135B">
        <w:rPr>
          <w:b/>
          <w:bCs/>
          <w:sz w:val="24"/>
          <w:szCs w:val="24"/>
          <w:highlight w:val="black"/>
          <w:lang w:val="es-ES_tradnl" w:bidi="or-IN"/>
        </w:rPr>
        <w:t>XXXXX</w:t>
      </w:r>
      <w:r w:rsidR="004D6E8C" w:rsidRPr="000402EF">
        <w:rPr>
          <w:sz w:val="24"/>
          <w:szCs w:val="24"/>
          <w:lang w:val="es-ES_tradnl" w:bidi="or-IN"/>
        </w:rPr>
        <w:t xml:space="preserve">, con domicilio a efectos de notificaciones en </w:t>
      </w:r>
      <w:r w:rsidR="00BE399E" w:rsidRPr="00D2135B">
        <w:rPr>
          <w:b/>
          <w:bCs/>
          <w:sz w:val="24"/>
          <w:szCs w:val="24"/>
          <w:highlight w:val="black"/>
          <w:lang w:val="es-ES_tradnl" w:bidi="or-IN"/>
        </w:rPr>
        <w:t>XXXXX</w:t>
      </w:r>
      <w:r w:rsidR="004D6E8C" w:rsidRPr="000402EF">
        <w:rPr>
          <w:sz w:val="24"/>
          <w:szCs w:val="24"/>
          <w:lang w:val="es-ES_tradnl" w:bidi="or-IN"/>
        </w:rPr>
        <w:t xml:space="preserve">, CP </w:t>
      </w:r>
      <w:r w:rsidR="00BE399E" w:rsidRPr="00D2135B">
        <w:rPr>
          <w:b/>
          <w:bCs/>
          <w:sz w:val="24"/>
          <w:szCs w:val="24"/>
          <w:highlight w:val="black"/>
          <w:lang w:val="es-ES_tradnl" w:bidi="or-IN"/>
        </w:rPr>
        <w:t>XXXXX</w:t>
      </w:r>
      <w:r w:rsidR="005527EF" w:rsidRPr="000402EF">
        <w:rPr>
          <w:sz w:val="24"/>
          <w:szCs w:val="24"/>
          <w:lang w:val="es-ES_tradnl" w:bidi="or-IN"/>
        </w:rPr>
        <w:t xml:space="preserve"> </w:t>
      </w:r>
      <w:r w:rsidR="004D6E8C" w:rsidRPr="000402EF">
        <w:rPr>
          <w:sz w:val="24"/>
          <w:szCs w:val="24"/>
          <w:lang w:val="es-ES_tradnl" w:bidi="or-IN"/>
        </w:rPr>
        <w:t xml:space="preserve">de </w:t>
      </w:r>
      <w:r w:rsidR="00BE399E" w:rsidRPr="00D2135B">
        <w:rPr>
          <w:b/>
          <w:bCs/>
          <w:sz w:val="24"/>
          <w:szCs w:val="24"/>
          <w:highlight w:val="black"/>
          <w:lang w:val="es-ES_tradnl" w:bidi="or-IN"/>
        </w:rPr>
        <w:t>XXXXX</w:t>
      </w:r>
      <w:r w:rsidR="004D6E8C" w:rsidRPr="000402EF">
        <w:rPr>
          <w:b/>
          <w:bCs/>
          <w:sz w:val="24"/>
          <w:szCs w:val="24"/>
          <w:lang w:val="es-ES_tradnl" w:bidi="or-IN"/>
        </w:rPr>
        <w:t>,</w:t>
      </w:r>
      <w:r w:rsidR="004D6E8C" w:rsidRPr="000402EF">
        <w:rPr>
          <w:sz w:val="24"/>
          <w:szCs w:val="24"/>
          <w:lang w:val="es-ES_tradnl" w:bidi="or-IN"/>
        </w:rPr>
        <w:t xml:space="preserve"> y dirección electrónica a efectos del aviso de la puesta a disposición de la notificación</w:t>
      </w:r>
      <w:r w:rsidR="003A4B81" w:rsidRPr="000402EF">
        <w:rPr>
          <w:sz w:val="24"/>
          <w:szCs w:val="24"/>
        </w:rPr>
        <w:t xml:space="preserve"> </w:t>
      </w:r>
      <w:r w:rsidR="00BE399E" w:rsidRPr="00D2135B">
        <w:rPr>
          <w:b/>
          <w:bCs/>
          <w:sz w:val="24"/>
          <w:szCs w:val="24"/>
          <w:highlight w:val="black"/>
          <w:lang w:val="es-ES_tradnl" w:bidi="or-IN"/>
        </w:rPr>
        <w:t>XXXXX</w:t>
      </w:r>
      <w:r w:rsidR="003A4B81" w:rsidRPr="000402EF">
        <w:rPr>
          <w:sz w:val="24"/>
          <w:szCs w:val="24"/>
          <w:lang w:val="es-ES_tradnl" w:bidi="or-IN"/>
        </w:rPr>
        <w:t>.</w:t>
      </w:r>
    </w:p>
    <w:p w14:paraId="5CDE6DEB" w14:textId="77777777" w:rsidR="00202B68" w:rsidRDefault="00202B68" w:rsidP="003A4B81">
      <w:pPr>
        <w:jc w:val="both"/>
        <w:rPr>
          <w:sz w:val="22"/>
          <w:szCs w:val="22"/>
          <w:lang w:val="es-ES_tradnl" w:bidi="or-IN"/>
        </w:rPr>
      </w:pPr>
    </w:p>
    <w:p w14:paraId="5C2BCAE1" w14:textId="77777777" w:rsidR="004D6E8C" w:rsidRDefault="004D6E8C" w:rsidP="003A4B81">
      <w:pPr>
        <w:jc w:val="both"/>
        <w:rPr>
          <w:sz w:val="22"/>
          <w:szCs w:val="22"/>
          <w:lang w:val="es-ES_tradnl" w:bidi="or-IN"/>
        </w:rPr>
      </w:pPr>
    </w:p>
    <w:p w14:paraId="1712F2E8" w14:textId="77777777" w:rsidR="004D6E8C" w:rsidRPr="00202B68" w:rsidRDefault="004D6E8C" w:rsidP="003A4B81">
      <w:pPr>
        <w:jc w:val="both"/>
        <w:rPr>
          <w:sz w:val="22"/>
          <w:szCs w:val="22"/>
          <w:lang w:val="es-ES_tradnl" w:bidi="or-IN"/>
        </w:rPr>
      </w:pPr>
    </w:p>
    <w:p w14:paraId="4CFD679A" w14:textId="77777777" w:rsidR="004D6E8C" w:rsidRPr="0021096F" w:rsidRDefault="004D6E8C" w:rsidP="003A4B81">
      <w:pPr>
        <w:jc w:val="both"/>
        <w:rPr>
          <w:b/>
          <w:color w:val="000000"/>
          <w:sz w:val="22"/>
          <w:szCs w:val="22"/>
          <w:lang w:eastAsia="es-ES_tradnl"/>
        </w:rPr>
      </w:pPr>
      <w:r w:rsidRPr="0021096F">
        <w:rPr>
          <w:b/>
          <w:color w:val="000000"/>
          <w:sz w:val="22"/>
          <w:szCs w:val="22"/>
          <w:lang w:eastAsia="es-ES_tradnl"/>
        </w:rPr>
        <w:t>ANTECEDENTES DE HECHOS</w:t>
      </w:r>
    </w:p>
    <w:p w14:paraId="307C5710" w14:textId="77777777" w:rsidR="004D6E8C" w:rsidRDefault="004D6E8C" w:rsidP="003A4B81">
      <w:pPr>
        <w:jc w:val="both"/>
        <w:rPr>
          <w:b/>
          <w:color w:val="000000"/>
          <w:sz w:val="22"/>
          <w:szCs w:val="22"/>
          <w:lang w:eastAsia="es-ES_tradnl"/>
        </w:rPr>
      </w:pPr>
    </w:p>
    <w:p w14:paraId="2D24CBAB" w14:textId="77777777" w:rsidR="004D6E8C" w:rsidRDefault="004D6E8C" w:rsidP="003A4B81">
      <w:pPr>
        <w:jc w:val="both"/>
        <w:rPr>
          <w:b/>
          <w:color w:val="000000"/>
          <w:sz w:val="22"/>
          <w:szCs w:val="22"/>
          <w:lang w:eastAsia="es-ES_tradnl"/>
        </w:rPr>
      </w:pPr>
    </w:p>
    <w:p w14:paraId="0B6C3D6C" w14:textId="28A31468" w:rsidR="00813EA0" w:rsidRPr="00EE3782" w:rsidRDefault="00813EA0" w:rsidP="00813EA0">
      <w:pPr>
        <w:jc w:val="both"/>
        <w:rPr>
          <w:color w:val="000000"/>
          <w:sz w:val="24"/>
          <w:szCs w:val="24"/>
          <w:lang w:eastAsia="es-ES_tradnl"/>
        </w:rPr>
      </w:pPr>
      <w:proofErr w:type="gramStart"/>
      <w:r w:rsidRPr="00EE3782">
        <w:rPr>
          <w:b/>
          <w:color w:val="000000"/>
          <w:sz w:val="24"/>
          <w:szCs w:val="24"/>
          <w:lang w:eastAsia="es-ES_tradnl"/>
        </w:rPr>
        <w:t>Primero</w:t>
      </w:r>
      <w:r w:rsidRPr="00EE3782">
        <w:rPr>
          <w:color w:val="000000"/>
          <w:sz w:val="24"/>
          <w:szCs w:val="24"/>
          <w:lang w:eastAsia="es-ES_tradnl"/>
        </w:rPr>
        <w:t>.-</w:t>
      </w:r>
      <w:proofErr w:type="gramEnd"/>
      <w:r w:rsidRPr="00EE3782">
        <w:rPr>
          <w:color w:val="000000"/>
          <w:sz w:val="24"/>
          <w:szCs w:val="24"/>
          <w:lang w:eastAsia="es-ES_tradnl"/>
        </w:rPr>
        <w:t xml:space="preserve"> </w:t>
      </w:r>
      <w:r w:rsidRPr="00BE399E">
        <w:rPr>
          <w:color w:val="000000"/>
          <w:sz w:val="24"/>
          <w:szCs w:val="24"/>
          <w:lang w:eastAsia="es-ES_tradnl"/>
        </w:rPr>
        <w:t xml:space="preserve">Según se desprende de la documentación obrante en el expediente, con fecha 14 de marzo de 2022 </w:t>
      </w:r>
      <w:bookmarkStart w:id="0" w:name="_Hlk117444895"/>
      <w:r w:rsidR="000402EF" w:rsidRPr="00D2135B">
        <w:rPr>
          <w:b/>
          <w:bCs/>
          <w:color w:val="000000"/>
          <w:sz w:val="24"/>
          <w:szCs w:val="24"/>
          <w:highlight w:val="black"/>
          <w:lang w:eastAsia="es-ES_tradnl"/>
        </w:rPr>
        <w:t>XXXXX</w:t>
      </w:r>
      <w:r w:rsidRPr="00BE399E">
        <w:rPr>
          <w:color w:val="000000"/>
          <w:sz w:val="24"/>
          <w:szCs w:val="24"/>
          <w:lang w:eastAsia="es-ES_tradnl"/>
        </w:rPr>
        <w:t xml:space="preserve"> </w:t>
      </w:r>
      <w:bookmarkEnd w:id="0"/>
      <w:r w:rsidRPr="00BE399E">
        <w:rPr>
          <w:color w:val="000000"/>
          <w:sz w:val="24"/>
          <w:szCs w:val="24"/>
          <w:lang w:eastAsia="es-ES_tradnl"/>
        </w:rPr>
        <w:t xml:space="preserve">presentó una solicitud de acceso a información sobre el Organismo Autónomo Arabako </w:t>
      </w:r>
      <w:proofErr w:type="spellStart"/>
      <w:r w:rsidRPr="00BE399E">
        <w:rPr>
          <w:color w:val="000000"/>
          <w:sz w:val="24"/>
          <w:szCs w:val="24"/>
          <w:lang w:eastAsia="es-ES_tradnl"/>
        </w:rPr>
        <w:t>Suhiltzaileak</w:t>
      </w:r>
      <w:proofErr w:type="spellEnd"/>
      <w:r w:rsidRPr="00BE399E">
        <w:rPr>
          <w:color w:val="000000"/>
          <w:sz w:val="24"/>
          <w:szCs w:val="24"/>
          <w:lang w:eastAsia="es-ES_tradnl"/>
        </w:rPr>
        <w:t>-Bomberos Forales de Álava (en adelante OABFA)</w:t>
      </w:r>
      <w:r w:rsidR="00BE399E">
        <w:rPr>
          <w:color w:val="000000"/>
          <w:sz w:val="24"/>
          <w:szCs w:val="24"/>
          <w:lang w:eastAsia="es-ES_tradnl"/>
        </w:rPr>
        <w:t>.</w:t>
      </w:r>
    </w:p>
    <w:p w14:paraId="527D2110" w14:textId="77777777" w:rsidR="00813EA0" w:rsidRPr="00EE3782" w:rsidRDefault="00813EA0" w:rsidP="00813EA0">
      <w:pPr>
        <w:jc w:val="both"/>
        <w:rPr>
          <w:color w:val="000000"/>
          <w:sz w:val="24"/>
          <w:szCs w:val="24"/>
          <w:lang w:eastAsia="es-ES_tradnl"/>
        </w:rPr>
      </w:pPr>
    </w:p>
    <w:p w14:paraId="256A51EF" w14:textId="77777777" w:rsidR="00813EA0" w:rsidRPr="00EE3782" w:rsidRDefault="00813EA0" w:rsidP="00813EA0">
      <w:pPr>
        <w:jc w:val="both"/>
        <w:rPr>
          <w:color w:val="000000"/>
          <w:sz w:val="24"/>
          <w:szCs w:val="24"/>
          <w:lang w:eastAsia="es-ES_tradnl"/>
        </w:rPr>
      </w:pPr>
      <w:r w:rsidRPr="00EE3782">
        <w:rPr>
          <w:color w:val="000000"/>
          <w:sz w:val="24"/>
          <w:szCs w:val="24"/>
          <w:lang w:eastAsia="es-ES_tradnl"/>
        </w:rPr>
        <w:t>Más concretamente, requería copia de los órdenes del día y de las actas de las sesiones del Consejo de Administración del citado Organismo celebradas en los años 2021 y 2022 así como documentación remitida a sus miembros de cara a la adopción o no de los acuerdos en dichas reuniones.</w:t>
      </w:r>
    </w:p>
    <w:p w14:paraId="7AD5FF9C" w14:textId="77777777" w:rsidR="00813EA0" w:rsidRPr="00EE3782" w:rsidRDefault="00813EA0" w:rsidP="00813EA0">
      <w:pPr>
        <w:pStyle w:val="Default"/>
      </w:pPr>
    </w:p>
    <w:p w14:paraId="7EBBEFF1" w14:textId="77777777" w:rsidR="00813EA0" w:rsidRPr="00EE3782" w:rsidRDefault="00813EA0" w:rsidP="00813EA0">
      <w:pPr>
        <w:jc w:val="both"/>
        <w:rPr>
          <w:color w:val="000000"/>
          <w:sz w:val="24"/>
          <w:szCs w:val="24"/>
          <w:lang w:eastAsia="es-ES_tradnl"/>
        </w:rPr>
      </w:pPr>
      <w:proofErr w:type="gramStart"/>
      <w:r w:rsidRPr="00EE3782">
        <w:rPr>
          <w:b/>
          <w:bCs/>
          <w:sz w:val="24"/>
          <w:szCs w:val="24"/>
        </w:rPr>
        <w:t>Segundo</w:t>
      </w:r>
      <w:r w:rsidRPr="00EE3782">
        <w:rPr>
          <w:sz w:val="24"/>
          <w:szCs w:val="24"/>
        </w:rPr>
        <w:t>.-</w:t>
      </w:r>
      <w:proofErr w:type="gramEnd"/>
      <w:r w:rsidRPr="00EE3782">
        <w:rPr>
          <w:sz w:val="24"/>
          <w:szCs w:val="24"/>
        </w:rPr>
        <w:t xml:space="preserve"> Mediante Resolución del Director </w:t>
      </w:r>
      <w:r w:rsidRPr="00EE3782">
        <w:rPr>
          <w:color w:val="000000"/>
          <w:sz w:val="24"/>
          <w:szCs w:val="24"/>
          <w:lang w:eastAsia="es-ES_tradnl"/>
        </w:rPr>
        <w:t>de Equilibrio Territorial 1455/2022, de 19 de abril, se resolvió estimar parcialmente dicha petición remitiendo toda la documentación requerida salvo las actas de las sesiones de 10 de diciembre de 2021 y 23 de marzo de 2022 ya que, al no encontrarse aprobadas, son borradores susceptibles de ser enmendadas por los miembros del Consejo.</w:t>
      </w:r>
    </w:p>
    <w:p w14:paraId="0AF0DC87" w14:textId="77777777" w:rsidR="00813EA0" w:rsidRPr="00EE3782" w:rsidRDefault="00813EA0" w:rsidP="00813EA0">
      <w:pPr>
        <w:jc w:val="both"/>
        <w:rPr>
          <w:color w:val="000000"/>
          <w:sz w:val="24"/>
          <w:szCs w:val="24"/>
          <w:lang w:eastAsia="es-ES_tradnl"/>
        </w:rPr>
      </w:pPr>
    </w:p>
    <w:p w14:paraId="5548D0C7" w14:textId="1B3F6577" w:rsidR="00813EA0" w:rsidRPr="00EE3782" w:rsidRDefault="00813EA0" w:rsidP="00813EA0">
      <w:pPr>
        <w:jc w:val="both"/>
        <w:rPr>
          <w:color w:val="000000"/>
          <w:sz w:val="24"/>
          <w:szCs w:val="24"/>
          <w:lang w:eastAsia="es-ES_tradnl"/>
        </w:rPr>
      </w:pPr>
      <w:r w:rsidRPr="000402EF">
        <w:rPr>
          <w:color w:val="000000"/>
          <w:sz w:val="24"/>
          <w:szCs w:val="24"/>
          <w:lang w:eastAsia="es-ES_tradnl"/>
        </w:rPr>
        <w:t xml:space="preserve">El 19 de abril de 2022 </w:t>
      </w:r>
      <w:r w:rsidR="000402EF" w:rsidRPr="00D2135B">
        <w:rPr>
          <w:b/>
          <w:bCs/>
          <w:color w:val="000000"/>
          <w:sz w:val="24"/>
          <w:szCs w:val="24"/>
          <w:highlight w:val="black"/>
          <w:lang w:eastAsia="es-ES_tradnl"/>
        </w:rPr>
        <w:t>XXXXX</w:t>
      </w:r>
      <w:r w:rsidRPr="000402EF">
        <w:rPr>
          <w:color w:val="000000"/>
          <w:sz w:val="24"/>
          <w:szCs w:val="24"/>
          <w:lang w:eastAsia="es-ES_tradnl"/>
        </w:rPr>
        <w:t xml:space="preserve"> solicitó copia de órdenes del día y actas correspondientes a las sesiones de 10 de diciembre de 2021, 23 de marzo de 2022 y </w:t>
      </w:r>
      <w:proofErr w:type="gramStart"/>
      <w:r w:rsidRPr="000402EF">
        <w:rPr>
          <w:color w:val="000000"/>
          <w:sz w:val="24"/>
          <w:szCs w:val="24"/>
          <w:lang w:eastAsia="es-ES_tradnl"/>
        </w:rPr>
        <w:t>posteriores</w:t>
      </w:r>
      <w:proofErr w:type="gramEnd"/>
      <w:r w:rsidRPr="000402EF">
        <w:rPr>
          <w:color w:val="000000"/>
          <w:sz w:val="24"/>
          <w:szCs w:val="24"/>
          <w:lang w:eastAsia="es-ES_tradnl"/>
        </w:rPr>
        <w:t xml:space="preserve"> así como documentación adicional remitida a los consejeros, solicitud que fue inadmitida por Resolución del Director de Equilibrio Territorial 1570/2022, de 26 de abril, porque, al no haberse reunido el Consejo con posterioridad al 23 de marzo, no se habían aprobado las actas requeridas.</w:t>
      </w:r>
    </w:p>
    <w:p w14:paraId="657E42CC" w14:textId="77777777" w:rsidR="00813EA0" w:rsidRPr="00EE3782" w:rsidRDefault="00813EA0" w:rsidP="00813EA0">
      <w:pPr>
        <w:jc w:val="both"/>
        <w:rPr>
          <w:color w:val="000000"/>
          <w:sz w:val="24"/>
          <w:szCs w:val="24"/>
          <w:lang w:eastAsia="es-ES_tradnl"/>
        </w:rPr>
      </w:pPr>
    </w:p>
    <w:p w14:paraId="37D58A84" w14:textId="77777777" w:rsidR="00813EA0" w:rsidRPr="00EE3782" w:rsidRDefault="00813EA0" w:rsidP="00813EA0">
      <w:pPr>
        <w:jc w:val="both"/>
        <w:rPr>
          <w:color w:val="000000"/>
          <w:sz w:val="24"/>
          <w:szCs w:val="24"/>
          <w:lang w:eastAsia="es-ES_tradnl"/>
        </w:rPr>
      </w:pPr>
      <w:r w:rsidRPr="00EE3782">
        <w:rPr>
          <w:color w:val="000000"/>
          <w:sz w:val="24"/>
          <w:szCs w:val="24"/>
          <w:lang w:eastAsia="es-ES_tradnl"/>
        </w:rPr>
        <w:t>Posteriormente, el 27 de junio, presentó nueva solicitud con contenido similar a la del mes de abril, pretensión que fue nuevamente inadmitida por los mismos motivos mediante Resolución 2688/2022, de 22 de julio.</w:t>
      </w:r>
    </w:p>
    <w:p w14:paraId="162FADD7" w14:textId="77777777" w:rsidR="00813EA0" w:rsidRPr="00EE3782" w:rsidRDefault="00813EA0" w:rsidP="00813EA0">
      <w:pPr>
        <w:pStyle w:val="Default"/>
      </w:pPr>
    </w:p>
    <w:p w14:paraId="3E2CDA50" w14:textId="53B180D0" w:rsidR="00813EA0" w:rsidRPr="00EE3782" w:rsidRDefault="00813EA0" w:rsidP="00813EA0">
      <w:pPr>
        <w:jc w:val="both"/>
        <w:rPr>
          <w:color w:val="000000"/>
          <w:sz w:val="24"/>
          <w:szCs w:val="24"/>
          <w:lang w:eastAsia="es-ES_tradnl"/>
        </w:rPr>
      </w:pPr>
      <w:r w:rsidRPr="00EE3782">
        <w:rPr>
          <w:b/>
          <w:bCs/>
          <w:sz w:val="24"/>
          <w:szCs w:val="24"/>
        </w:rPr>
        <w:t xml:space="preserve">Tercero.-  </w:t>
      </w:r>
      <w:r w:rsidRPr="00EE3782">
        <w:rPr>
          <w:sz w:val="24"/>
          <w:szCs w:val="24"/>
        </w:rPr>
        <w:t xml:space="preserve">El pasado 28 de julio de 2022 tuvo entrada en el Registro General de la Diputación Foral de Álava un escrito dirigido a </w:t>
      </w:r>
      <w:r w:rsidRPr="00D661B2">
        <w:rPr>
          <w:sz w:val="24"/>
          <w:szCs w:val="24"/>
        </w:rPr>
        <w:t xml:space="preserve">la Comisión Foral de Transparencia en el que, tras valorar el funcionamiento del Consejo de Administración del OABFA, </w:t>
      </w:r>
      <w:r w:rsidR="00D661B2" w:rsidRPr="00D2135B">
        <w:rPr>
          <w:b/>
          <w:bCs/>
          <w:sz w:val="24"/>
          <w:szCs w:val="24"/>
          <w:highlight w:val="black"/>
        </w:rPr>
        <w:t>XXXXX</w:t>
      </w:r>
      <w:r w:rsidRPr="00EE3782">
        <w:rPr>
          <w:sz w:val="24"/>
          <w:szCs w:val="24"/>
        </w:rPr>
        <w:t xml:space="preserve"> solicita: i) que la solicitud de información inadmitida sea atendida sin mayor dilación; </w:t>
      </w:r>
      <w:proofErr w:type="spellStart"/>
      <w:r w:rsidRPr="00EE3782">
        <w:rPr>
          <w:sz w:val="24"/>
          <w:szCs w:val="24"/>
        </w:rPr>
        <w:t>ii</w:t>
      </w:r>
      <w:proofErr w:type="spellEnd"/>
      <w:r w:rsidRPr="00EE3782">
        <w:rPr>
          <w:sz w:val="24"/>
          <w:szCs w:val="24"/>
        </w:rPr>
        <w:t xml:space="preserve">) que se le aclare expresamente los </w:t>
      </w:r>
      <w:r w:rsidRPr="00EE3782">
        <w:rPr>
          <w:sz w:val="24"/>
          <w:szCs w:val="24"/>
        </w:rPr>
        <w:lastRenderedPageBreak/>
        <w:t>motivos por los que en la Resolución 2688/2022 se afirma que no se han celebrado sesiones del Consejo posteriores al 23 de marzo de 2022 “</w:t>
      </w:r>
      <w:r w:rsidRPr="00EE3782">
        <w:rPr>
          <w:i/>
          <w:iCs/>
          <w:sz w:val="24"/>
          <w:szCs w:val="24"/>
        </w:rPr>
        <w:t>cuando manifiestamente esta afirmación no se corresponde con la realidad</w:t>
      </w:r>
      <w:r w:rsidRPr="00EE3782">
        <w:rPr>
          <w:sz w:val="24"/>
          <w:szCs w:val="24"/>
        </w:rPr>
        <w:t xml:space="preserve">”; </w:t>
      </w:r>
      <w:proofErr w:type="spellStart"/>
      <w:r w:rsidRPr="00EE3782">
        <w:rPr>
          <w:sz w:val="24"/>
          <w:szCs w:val="24"/>
        </w:rPr>
        <w:t>iii</w:t>
      </w:r>
      <w:proofErr w:type="spellEnd"/>
      <w:r w:rsidRPr="00EE3782">
        <w:rPr>
          <w:sz w:val="24"/>
          <w:szCs w:val="24"/>
        </w:rPr>
        <w:t xml:space="preserve">) que se le explique cuál es la razón, en caso de que las actas sigan sin aprobarse, de dicha situación; </w:t>
      </w:r>
      <w:proofErr w:type="spellStart"/>
      <w:r w:rsidRPr="00EE3782">
        <w:rPr>
          <w:sz w:val="24"/>
          <w:szCs w:val="24"/>
        </w:rPr>
        <w:t>iv</w:t>
      </w:r>
      <w:proofErr w:type="spellEnd"/>
      <w:r w:rsidRPr="00EE3782">
        <w:rPr>
          <w:sz w:val="24"/>
          <w:szCs w:val="24"/>
        </w:rPr>
        <w:t>) que se dictamine si, ante la situación expuesta y tras las diligencias de investigación que estime oportunas, podemos estar ante una infracción administrativa de las recogidas en el artículo 19 de la Norma Foral 1/2017, de 8 de febrero, de Transparencia, Participación Ciudadana y Buen Gobierno del sector público del Territorio Histórico de Álava.</w:t>
      </w:r>
    </w:p>
    <w:p w14:paraId="59BFF44C" w14:textId="77777777" w:rsidR="00813EA0" w:rsidRPr="00EE3782" w:rsidRDefault="00813EA0" w:rsidP="00813EA0">
      <w:pPr>
        <w:jc w:val="both"/>
        <w:rPr>
          <w:sz w:val="24"/>
          <w:szCs w:val="24"/>
        </w:rPr>
      </w:pPr>
    </w:p>
    <w:p w14:paraId="340BDB28" w14:textId="77777777" w:rsidR="00813EA0" w:rsidRPr="00EE3782" w:rsidRDefault="00813EA0" w:rsidP="00813EA0">
      <w:pPr>
        <w:jc w:val="center"/>
        <w:rPr>
          <w:b/>
          <w:color w:val="000000"/>
          <w:sz w:val="24"/>
          <w:szCs w:val="24"/>
          <w:lang w:eastAsia="es-ES_tradnl"/>
        </w:rPr>
      </w:pPr>
      <w:r w:rsidRPr="00EE3782">
        <w:rPr>
          <w:b/>
          <w:color w:val="000000"/>
          <w:sz w:val="24"/>
          <w:szCs w:val="24"/>
          <w:lang w:eastAsia="es-ES_tradnl"/>
        </w:rPr>
        <w:t>FUNDAMENTOS JURÍDICOS</w:t>
      </w:r>
    </w:p>
    <w:p w14:paraId="45E35550" w14:textId="77777777" w:rsidR="00813EA0" w:rsidRPr="00EE3782" w:rsidRDefault="00813EA0" w:rsidP="00813EA0">
      <w:pPr>
        <w:jc w:val="both"/>
        <w:rPr>
          <w:sz w:val="24"/>
          <w:szCs w:val="24"/>
        </w:rPr>
      </w:pPr>
    </w:p>
    <w:p w14:paraId="3D4CB85A" w14:textId="58C01940" w:rsidR="00813EA0" w:rsidRPr="00EE3782" w:rsidRDefault="00813EA0" w:rsidP="00813EA0">
      <w:pPr>
        <w:pStyle w:val="Prrafodelista"/>
        <w:numPr>
          <w:ilvl w:val="0"/>
          <w:numId w:val="40"/>
        </w:numPr>
        <w:jc w:val="both"/>
        <w:rPr>
          <w:sz w:val="24"/>
          <w:szCs w:val="24"/>
        </w:rPr>
      </w:pPr>
      <w:r w:rsidRPr="00EE3782">
        <w:rPr>
          <w:sz w:val="24"/>
          <w:szCs w:val="24"/>
        </w:rPr>
        <w:t xml:space="preserve">En relación con la solicitud </w:t>
      </w:r>
      <w:r w:rsidRPr="0057586C">
        <w:rPr>
          <w:sz w:val="24"/>
          <w:szCs w:val="24"/>
        </w:rPr>
        <w:t xml:space="preserve">planteada por </w:t>
      </w:r>
      <w:r w:rsidR="0057586C" w:rsidRPr="00D2135B">
        <w:rPr>
          <w:b/>
          <w:bCs/>
          <w:sz w:val="24"/>
          <w:szCs w:val="24"/>
          <w:highlight w:val="black"/>
        </w:rPr>
        <w:t>XXXXX</w:t>
      </w:r>
      <w:r w:rsidRPr="0057586C">
        <w:rPr>
          <w:sz w:val="24"/>
          <w:szCs w:val="24"/>
        </w:rPr>
        <w:t>, antes</w:t>
      </w:r>
      <w:r w:rsidRPr="00EE3782">
        <w:rPr>
          <w:sz w:val="24"/>
          <w:szCs w:val="24"/>
        </w:rPr>
        <w:t xml:space="preserve"> de analizar el fondo del asunto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LTAIBG.</w:t>
      </w:r>
    </w:p>
    <w:p w14:paraId="434929D0" w14:textId="77777777" w:rsidR="00813EA0" w:rsidRPr="00EE3782" w:rsidRDefault="00813EA0" w:rsidP="00813EA0">
      <w:pPr>
        <w:jc w:val="both"/>
        <w:rPr>
          <w:sz w:val="24"/>
          <w:szCs w:val="24"/>
        </w:rPr>
      </w:pPr>
    </w:p>
    <w:p w14:paraId="68D5F796" w14:textId="7759B44C" w:rsidR="00813EA0" w:rsidRPr="00EE3782" w:rsidRDefault="00813EA0" w:rsidP="00813EA0">
      <w:pPr>
        <w:pStyle w:val="Prrafodelista"/>
        <w:numPr>
          <w:ilvl w:val="0"/>
          <w:numId w:val="40"/>
        </w:numPr>
        <w:jc w:val="both"/>
        <w:rPr>
          <w:sz w:val="24"/>
          <w:szCs w:val="24"/>
        </w:rPr>
      </w:pPr>
      <w:r w:rsidRPr="00EE3782">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w:t>
      </w:r>
      <w:r w:rsidRPr="0057586C">
        <w:rPr>
          <w:sz w:val="24"/>
          <w:szCs w:val="24"/>
        </w:rPr>
        <w:t xml:space="preserve">que se ajustó </w:t>
      </w:r>
      <w:r w:rsidR="0057586C" w:rsidRPr="00D2135B">
        <w:rPr>
          <w:b/>
          <w:bCs/>
          <w:sz w:val="24"/>
          <w:szCs w:val="24"/>
          <w:highlight w:val="black"/>
        </w:rPr>
        <w:t>XXXXX</w:t>
      </w:r>
      <w:r w:rsidRPr="00EE3782">
        <w:rPr>
          <w:sz w:val="24"/>
          <w:szCs w:val="24"/>
        </w:rPr>
        <w:t xml:space="preserve"> ya que la Resolución del </w:t>
      </w:r>
      <w:proofErr w:type="gramStart"/>
      <w:r w:rsidRPr="00EE3782">
        <w:rPr>
          <w:sz w:val="24"/>
          <w:szCs w:val="24"/>
        </w:rPr>
        <w:t>Director</w:t>
      </w:r>
      <w:proofErr w:type="gramEnd"/>
      <w:r w:rsidRPr="00EE3782">
        <w:rPr>
          <w:sz w:val="24"/>
          <w:szCs w:val="24"/>
        </w:rPr>
        <w:t xml:space="preserve"> de Equilibrio Territorial 2688/2022 fue emitida el 22 de julio de 2022 y el escrito </w:t>
      </w:r>
      <w:r w:rsidRPr="0057586C">
        <w:rPr>
          <w:sz w:val="24"/>
          <w:szCs w:val="24"/>
        </w:rPr>
        <w:t xml:space="preserve">de </w:t>
      </w:r>
      <w:r w:rsidR="0057586C" w:rsidRPr="00D2135B">
        <w:rPr>
          <w:b/>
          <w:bCs/>
          <w:sz w:val="24"/>
          <w:szCs w:val="24"/>
          <w:highlight w:val="black"/>
        </w:rPr>
        <w:t>XXXXX</w:t>
      </w:r>
      <w:r w:rsidRPr="0057586C">
        <w:rPr>
          <w:b/>
          <w:bCs/>
          <w:sz w:val="24"/>
          <w:szCs w:val="24"/>
        </w:rPr>
        <w:t xml:space="preserve"> </w:t>
      </w:r>
      <w:r w:rsidRPr="00EE3782">
        <w:rPr>
          <w:sz w:val="24"/>
          <w:szCs w:val="24"/>
        </w:rPr>
        <w:t>tuvo entrada en el Registro de la Diputación Foral de Álava el 28 de julio de 2022.</w:t>
      </w:r>
    </w:p>
    <w:p w14:paraId="73882C53" w14:textId="77777777" w:rsidR="00813EA0" w:rsidRPr="00EE3782" w:rsidRDefault="00813EA0" w:rsidP="00813EA0">
      <w:pPr>
        <w:jc w:val="both"/>
        <w:rPr>
          <w:sz w:val="24"/>
          <w:szCs w:val="24"/>
        </w:rPr>
      </w:pPr>
    </w:p>
    <w:p w14:paraId="4A196F80" w14:textId="5914647B" w:rsidR="00813EA0" w:rsidRPr="00EE3782" w:rsidRDefault="00813EA0" w:rsidP="00813EA0">
      <w:pPr>
        <w:pStyle w:val="Prrafodelista"/>
        <w:numPr>
          <w:ilvl w:val="0"/>
          <w:numId w:val="40"/>
        </w:numPr>
        <w:jc w:val="both"/>
        <w:rPr>
          <w:sz w:val="24"/>
          <w:szCs w:val="24"/>
        </w:rPr>
      </w:pPr>
      <w:r w:rsidRPr="00EE3782">
        <w:rPr>
          <w:sz w:val="24"/>
          <w:szCs w:val="24"/>
        </w:rPr>
        <w:t xml:space="preserve">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 resoluciones entre las cuales se encuentra la resolución </w:t>
      </w:r>
      <w:r w:rsidRPr="0057586C">
        <w:rPr>
          <w:sz w:val="24"/>
          <w:szCs w:val="24"/>
        </w:rPr>
        <w:t xml:space="preserve">recurrida por </w:t>
      </w:r>
      <w:r w:rsidR="0057586C" w:rsidRPr="00D2135B">
        <w:rPr>
          <w:b/>
          <w:bCs/>
          <w:sz w:val="24"/>
          <w:szCs w:val="24"/>
          <w:highlight w:val="black"/>
        </w:rPr>
        <w:t>XXXXX</w:t>
      </w:r>
      <w:r w:rsidRPr="0057586C">
        <w:rPr>
          <w:b/>
          <w:bCs/>
          <w:sz w:val="24"/>
          <w:szCs w:val="24"/>
        </w:rPr>
        <w:t>.</w:t>
      </w:r>
    </w:p>
    <w:p w14:paraId="4CD76B60" w14:textId="77777777" w:rsidR="00813EA0" w:rsidRPr="00EE3782" w:rsidRDefault="00813EA0" w:rsidP="00813EA0">
      <w:pPr>
        <w:pStyle w:val="Prrafodelista"/>
        <w:rPr>
          <w:sz w:val="24"/>
          <w:szCs w:val="24"/>
        </w:rPr>
      </w:pPr>
    </w:p>
    <w:p w14:paraId="7F3F0E99" w14:textId="77777777" w:rsidR="00813EA0" w:rsidRPr="00EE3782" w:rsidRDefault="00813EA0" w:rsidP="00813EA0">
      <w:pPr>
        <w:pStyle w:val="Prrafodelista"/>
        <w:numPr>
          <w:ilvl w:val="0"/>
          <w:numId w:val="40"/>
        </w:numPr>
        <w:autoSpaceDE w:val="0"/>
        <w:autoSpaceDN w:val="0"/>
        <w:adjustRightInd w:val="0"/>
        <w:jc w:val="both"/>
        <w:rPr>
          <w:sz w:val="24"/>
          <w:szCs w:val="24"/>
        </w:rPr>
      </w:pPr>
      <w:r w:rsidRPr="00EE3782">
        <w:rPr>
          <w:snapToGrid w:val="0"/>
          <w:kern w:val="3"/>
          <w:sz w:val="24"/>
          <w:szCs w:val="24"/>
          <w:lang w:eastAsia="eu-ES"/>
        </w:rPr>
        <w:t>Una vez identificada la sujeción de la entidad reclamada a la Norma Foral 1/2017 de Transparencia, la competencia subjetiva del Consejo Foral de Transparencia y la legitimación del reclamante, deberá verificarse que existe efectivamente una solicitud de información pública ya que, de acuerdo con la Norma Foral 1/2017 y el Decreto 5/2017 de 21 de febrero, dicho Consejo es incompetente para conocer de otro tipo de pretensiones.</w:t>
      </w:r>
    </w:p>
    <w:p w14:paraId="312003C9" w14:textId="77777777" w:rsidR="00813EA0" w:rsidRPr="00EE3782" w:rsidRDefault="00813EA0" w:rsidP="00813EA0">
      <w:pPr>
        <w:autoSpaceDE w:val="0"/>
        <w:autoSpaceDN w:val="0"/>
        <w:adjustRightInd w:val="0"/>
        <w:jc w:val="both"/>
        <w:rPr>
          <w:sz w:val="24"/>
          <w:szCs w:val="24"/>
        </w:rPr>
      </w:pPr>
    </w:p>
    <w:p w14:paraId="343E07C4" w14:textId="4B3E57C5" w:rsidR="00813EA0" w:rsidRPr="00EE3782" w:rsidRDefault="00813EA0" w:rsidP="00813EA0">
      <w:pPr>
        <w:suppressAutoHyphens/>
        <w:autoSpaceDN w:val="0"/>
        <w:ind w:left="360"/>
        <w:jc w:val="both"/>
        <w:textAlignment w:val="baseline"/>
        <w:rPr>
          <w:sz w:val="24"/>
          <w:szCs w:val="24"/>
        </w:rPr>
      </w:pPr>
      <w:r w:rsidRPr="00EE3782">
        <w:rPr>
          <w:snapToGrid w:val="0"/>
          <w:kern w:val="3"/>
          <w:sz w:val="24"/>
          <w:szCs w:val="24"/>
          <w:lang w:eastAsia="eu-ES"/>
        </w:rPr>
        <w:t xml:space="preserve">El objeto del escrito </w:t>
      </w:r>
      <w:r w:rsidRPr="0057586C">
        <w:rPr>
          <w:snapToGrid w:val="0"/>
          <w:kern w:val="3"/>
          <w:sz w:val="24"/>
          <w:szCs w:val="24"/>
          <w:lang w:eastAsia="eu-ES"/>
        </w:rPr>
        <w:t xml:space="preserve">presentado por </w:t>
      </w:r>
      <w:r w:rsidR="0057586C" w:rsidRPr="00D2135B">
        <w:rPr>
          <w:b/>
          <w:bCs/>
          <w:snapToGrid w:val="0"/>
          <w:kern w:val="3"/>
          <w:sz w:val="24"/>
          <w:szCs w:val="24"/>
          <w:highlight w:val="black"/>
          <w:lang w:eastAsia="eu-ES"/>
        </w:rPr>
        <w:t>XXXXX</w:t>
      </w:r>
      <w:r w:rsidRPr="00EE3782">
        <w:rPr>
          <w:snapToGrid w:val="0"/>
          <w:kern w:val="3"/>
          <w:sz w:val="24"/>
          <w:szCs w:val="24"/>
          <w:lang w:eastAsia="eu-ES"/>
        </w:rPr>
        <w:t xml:space="preserve"> es múltiple ya que, además de presentar una reclamación contra la resolución expresa en materia de acceso a información pública, esto es, contra la Resolución del Director de Equilibrio Territorial 2688/2022, a través de la cual se inadmitía la </w:t>
      </w:r>
      <w:r w:rsidRPr="0057586C">
        <w:rPr>
          <w:snapToGrid w:val="0"/>
          <w:kern w:val="3"/>
          <w:sz w:val="24"/>
          <w:szCs w:val="24"/>
          <w:lang w:eastAsia="eu-ES"/>
        </w:rPr>
        <w:t xml:space="preserve">petición </w:t>
      </w:r>
      <w:r w:rsidR="0057586C" w:rsidRPr="00D2135B">
        <w:rPr>
          <w:b/>
          <w:bCs/>
          <w:snapToGrid w:val="0"/>
          <w:kern w:val="3"/>
          <w:sz w:val="24"/>
          <w:szCs w:val="24"/>
          <w:highlight w:val="black"/>
          <w:lang w:eastAsia="eu-ES"/>
        </w:rPr>
        <w:t>XXXXX</w:t>
      </w:r>
      <w:r w:rsidRPr="00EE3782">
        <w:rPr>
          <w:snapToGrid w:val="0"/>
          <w:kern w:val="3"/>
          <w:sz w:val="24"/>
          <w:szCs w:val="24"/>
          <w:lang w:eastAsia="eu-ES"/>
        </w:rPr>
        <w:t>, requiere aclaraciones sobre el funcionamiento del Consejo de Administración del OABFA así como dictamen sobre posible infracción administrativa de las referidas en el artículo 19 de la Norma Foral 1/2017.</w:t>
      </w:r>
    </w:p>
    <w:p w14:paraId="4ABCCA90" w14:textId="77777777" w:rsidR="00813EA0" w:rsidRPr="00EE3782" w:rsidRDefault="00813EA0" w:rsidP="00813EA0">
      <w:pPr>
        <w:autoSpaceDE w:val="0"/>
        <w:autoSpaceDN w:val="0"/>
        <w:adjustRightInd w:val="0"/>
        <w:ind w:left="360"/>
        <w:jc w:val="both"/>
        <w:rPr>
          <w:snapToGrid w:val="0"/>
          <w:kern w:val="3"/>
          <w:sz w:val="24"/>
          <w:szCs w:val="24"/>
          <w:lang w:eastAsia="eu-ES"/>
        </w:rPr>
      </w:pPr>
    </w:p>
    <w:p w14:paraId="47B3C06B" w14:textId="77777777" w:rsidR="00813EA0" w:rsidRPr="00EE3782" w:rsidRDefault="00813EA0" w:rsidP="00813EA0">
      <w:pPr>
        <w:ind w:left="360"/>
        <w:jc w:val="both"/>
        <w:rPr>
          <w:snapToGrid w:val="0"/>
          <w:kern w:val="3"/>
          <w:sz w:val="24"/>
          <w:szCs w:val="24"/>
          <w:lang w:eastAsia="eu-ES"/>
        </w:rPr>
      </w:pPr>
      <w:r w:rsidRPr="00EE3782">
        <w:rPr>
          <w:snapToGrid w:val="0"/>
          <w:kern w:val="3"/>
          <w:sz w:val="24"/>
          <w:szCs w:val="24"/>
          <w:lang w:eastAsia="eu-ES"/>
        </w:rPr>
        <w:t>Con objeto de resolver la presente reclamación, este Consejo considera necesario clarificar algunas cuestiones relativas a su competencia. Así, debe señalarse que, si bien es cierto que la Norma Foral 1/2017 regula la transparencia en su doble vertiente: publicidad activa, esto es el compromiso, recopilación y difusión proactiva de información pública relevante; y, por otro lado, como derecho subjetivo de todas las personas de acceder a dicha información, el artículo 2 del ya citado Decreto 5/2017, a la hora de fijar las competencias del Consejo Foral de Transparencia, únicamente le atribuye “</w:t>
      </w:r>
      <w:r w:rsidRPr="00EE3782">
        <w:rPr>
          <w:i/>
          <w:iCs/>
          <w:snapToGrid w:val="0"/>
          <w:kern w:val="3"/>
          <w:sz w:val="24"/>
          <w:szCs w:val="24"/>
          <w:lang w:eastAsia="eu-ES"/>
        </w:rPr>
        <w:t>el conocimiento y resolución de las reclamaciones frente a la denegación tácita y expresa del ejercicio del derecho de acceso a la información pública, sin perjuicio de que puedan encomendársele otros cometidos relacionados siempre con el ámbito de la transparencia foral</w:t>
      </w:r>
      <w:r w:rsidRPr="00EE3782">
        <w:rPr>
          <w:snapToGrid w:val="0"/>
          <w:kern w:val="3"/>
          <w:sz w:val="24"/>
          <w:szCs w:val="24"/>
          <w:lang w:eastAsia="eu-ES"/>
        </w:rPr>
        <w:t xml:space="preserve">.” </w:t>
      </w:r>
    </w:p>
    <w:p w14:paraId="55E994FF" w14:textId="77777777" w:rsidR="00813EA0" w:rsidRPr="00EE3782" w:rsidRDefault="00813EA0" w:rsidP="00813EA0">
      <w:pPr>
        <w:pStyle w:val="Prrafodelista"/>
        <w:autoSpaceDE w:val="0"/>
        <w:autoSpaceDN w:val="0"/>
        <w:adjustRightInd w:val="0"/>
        <w:ind w:left="360"/>
        <w:jc w:val="both"/>
        <w:rPr>
          <w:snapToGrid w:val="0"/>
          <w:kern w:val="3"/>
          <w:sz w:val="24"/>
          <w:szCs w:val="24"/>
          <w:lang w:eastAsia="eu-ES"/>
        </w:rPr>
      </w:pPr>
    </w:p>
    <w:p w14:paraId="7D05E974" w14:textId="77777777" w:rsidR="00813EA0" w:rsidRPr="00EE3782" w:rsidRDefault="00813EA0" w:rsidP="00813EA0">
      <w:pPr>
        <w:pStyle w:val="Prrafodelista"/>
        <w:autoSpaceDE w:val="0"/>
        <w:autoSpaceDN w:val="0"/>
        <w:adjustRightInd w:val="0"/>
        <w:ind w:left="360"/>
        <w:jc w:val="both"/>
        <w:rPr>
          <w:snapToGrid w:val="0"/>
          <w:kern w:val="3"/>
          <w:sz w:val="24"/>
          <w:szCs w:val="24"/>
          <w:lang w:eastAsia="eu-ES"/>
        </w:rPr>
      </w:pPr>
      <w:proofErr w:type="gramStart"/>
      <w:r w:rsidRPr="00EE3782">
        <w:rPr>
          <w:snapToGrid w:val="0"/>
          <w:kern w:val="3"/>
          <w:sz w:val="24"/>
          <w:szCs w:val="24"/>
          <w:lang w:eastAsia="eu-ES"/>
        </w:rPr>
        <w:t>A día de hoy</w:t>
      </w:r>
      <w:proofErr w:type="gramEnd"/>
      <w:r w:rsidRPr="00EE3782">
        <w:rPr>
          <w:snapToGrid w:val="0"/>
          <w:kern w:val="3"/>
          <w:sz w:val="24"/>
          <w:szCs w:val="24"/>
          <w:lang w:eastAsia="eu-ES"/>
        </w:rPr>
        <w:t>, no se ha producido ningún encargo ni encomienda adicional a este Consejo por lo que su ámbito de supervisión se encuentra circunscrito a las reclamaciones contra denegaciones de solicitudes de acceso a la información pública de la Diputación.  No se le han atribuido otras funciones tales como control y fiscalización de órganos colegiados de los entes integrantes del sector público foral o régimen sancionador en materia de transparencia</w:t>
      </w:r>
    </w:p>
    <w:p w14:paraId="66D9F9C7" w14:textId="77777777" w:rsidR="00813EA0" w:rsidRPr="00EE3782" w:rsidRDefault="00813EA0" w:rsidP="00813EA0">
      <w:pPr>
        <w:pStyle w:val="Prrafodelista"/>
        <w:autoSpaceDE w:val="0"/>
        <w:autoSpaceDN w:val="0"/>
        <w:adjustRightInd w:val="0"/>
        <w:ind w:left="360"/>
        <w:jc w:val="both"/>
        <w:rPr>
          <w:sz w:val="24"/>
          <w:szCs w:val="24"/>
        </w:rPr>
      </w:pPr>
    </w:p>
    <w:p w14:paraId="53504433" w14:textId="4880833C" w:rsidR="00813EA0" w:rsidRPr="00EE3782" w:rsidRDefault="00813EA0" w:rsidP="00813EA0">
      <w:pPr>
        <w:autoSpaceDE w:val="0"/>
        <w:autoSpaceDN w:val="0"/>
        <w:adjustRightInd w:val="0"/>
        <w:ind w:left="360"/>
        <w:jc w:val="both"/>
        <w:rPr>
          <w:sz w:val="24"/>
          <w:szCs w:val="24"/>
        </w:rPr>
      </w:pPr>
      <w:r w:rsidRPr="00EE3782">
        <w:rPr>
          <w:sz w:val="24"/>
          <w:szCs w:val="24"/>
        </w:rPr>
        <w:t xml:space="preserve">En consecuencia, al no corresponderle a este Consejo fiscalizar el funcionamiento de los consejos de administración de los organismos </w:t>
      </w:r>
      <w:proofErr w:type="gramStart"/>
      <w:r w:rsidRPr="00EE3782">
        <w:rPr>
          <w:sz w:val="24"/>
          <w:szCs w:val="24"/>
        </w:rPr>
        <w:t>autónomo forales</w:t>
      </w:r>
      <w:proofErr w:type="gramEnd"/>
      <w:r w:rsidRPr="00EE3782">
        <w:rPr>
          <w:sz w:val="24"/>
          <w:szCs w:val="24"/>
        </w:rPr>
        <w:t xml:space="preserve"> ni dictaminar sobre la posible existencia de infracciones de la normativa reguladora de la transparencia, únicamente procede dar respuesta a la primera de las cuestiones </w:t>
      </w:r>
      <w:r w:rsidRPr="0057586C">
        <w:rPr>
          <w:sz w:val="24"/>
          <w:szCs w:val="24"/>
        </w:rPr>
        <w:t xml:space="preserve">planteadas por </w:t>
      </w:r>
      <w:r w:rsidR="0057586C" w:rsidRPr="00D2135B">
        <w:rPr>
          <w:b/>
          <w:bCs/>
          <w:sz w:val="24"/>
          <w:szCs w:val="24"/>
          <w:highlight w:val="black"/>
        </w:rPr>
        <w:t>XXXXX</w:t>
      </w:r>
      <w:r w:rsidRPr="0057586C">
        <w:rPr>
          <w:b/>
          <w:bCs/>
          <w:sz w:val="24"/>
          <w:szCs w:val="24"/>
        </w:rPr>
        <w:t>,</w:t>
      </w:r>
      <w:r w:rsidRPr="00EE3782">
        <w:rPr>
          <w:sz w:val="24"/>
          <w:szCs w:val="24"/>
        </w:rPr>
        <w:t xml:space="preserve"> la referida a la inadmisión de su solicitud de acceso a las actas de las sesiones de 10 de diciembre de 2021, 23 de marzo de 2022 y posteriores. </w:t>
      </w:r>
    </w:p>
    <w:p w14:paraId="49552A80" w14:textId="77777777" w:rsidR="00813EA0" w:rsidRPr="00EE3782" w:rsidRDefault="00813EA0" w:rsidP="00813EA0">
      <w:pPr>
        <w:autoSpaceDE w:val="0"/>
        <w:autoSpaceDN w:val="0"/>
        <w:adjustRightInd w:val="0"/>
        <w:ind w:left="360"/>
        <w:jc w:val="both"/>
        <w:rPr>
          <w:sz w:val="24"/>
          <w:szCs w:val="24"/>
        </w:rPr>
      </w:pPr>
    </w:p>
    <w:p w14:paraId="634C3F66" w14:textId="44686C3D" w:rsidR="00813EA0" w:rsidRPr="00EE3782" w:rsidRDefault="00813EA0" w:rsidP="00813EA0">
      <w:pPr>
        <w:pStyle w:val="Prrafodelista"/>
        <w:numPr>
          <w:ilvl w:val="0"/>
          <w:numId w:val="40"/>
        </w:numPr>
        <w:suppressAutoHyphens/>
        <w:autoSpaceDN w:val="0"/>
        <w:jc w:val="both"/>
        <w:textAlignment w:val="baseline"/>
        <w:rPr>
          <w:snapToGrid w:val="0"/>
          <w:kern w:val="3"/>
          <w:sz w:val="24"/>
          <w:szCs w:val="24"/>
          <w:lang w:eastAsia="eu-ES"/>
        </w:rPr>
      </w:pPr>
      <w:r w:rsidRPr="00EE3782">
        <w:rPr>
          <w:color w:val="000000"/>
          <w:sz w:val="24"/>
          <w:szCs w:val="24"/>
          <w:lang w:val="es-ES_tradnl" w:eastAsia="es-ES_tradnl"/>
        </w:rPr>
        <w:t>Según el artículo 18 de la Norma 1/2017, de 8 de febrero, se entiende por información pública “</w:t>
      </w:r>
      <w:r w:rsidRPr="00EE3782">
        <w:rPr>
          <w:i/>
          <w:color w:val="000000"/>
          <w:sz w:val="24"/>
          <w:szCs w:val="24"/>
          <w:lang w:val="es-ES_tradnl" w:eastAsia="es-ES_tradnl"/>
        </w:rPr>
        <w:t xml:space="preserve">los contenidos o </w:t>
      </w:r>
      <w:r w:rsidRPr="00EE3782">
        <w:rPr>
          <w:i/>
          <w:snapToGrid w:val="0"/>
          <w:kern w:val="3"/>
          <w:sz w:val="24"/>
          <w:szCs w:val="24"/>
          <w:lang w:eastAsia="eu-ES"/>
        </w:rPr>
        <w:t>documentos, cualquiera que sea su formato o soporte, que obren en poder de cualquiera de los sujetos incluidos en el artículo 3 de esta Norma Foral que hayan sido elaborados o adquiridos en el ejercicio de sus funciones”</w:t>
      </w:r>
      <w:r w:rsidR="00386026">
        <w:rPr>
          <w:i/>
          <w:snapToGrid w:val="0"/>
          <w:kern w:val="3"/>
          <w:sz w:val="24"/>
          <w:szCs w:val="24"/>
          <w:lang w:eastAsia="eu-ES"/>
        </w:rPr>
        <w:t>.</w:t>
      </w:r>
    </w:p>
    <w:p w14:paraId="7F291028" w14:textId="77777777" w:rsidR="00813EA0" w:rsidRPr="00EE3782" w:rsidRDefault="00813EA0" w:rsidP="00813EA0">
      <w:pPr>
        <w:pStyle w:val="Prrafodelista"/>
        <w:rPr>
          <w:snapToGrid w:val="0"/>
          <w:kern w:val="3"/>
          <w:sz w:val="24"/>
          <w:szCs w:val="24"/>
          <w:lang w:eastAsia="eu-ES"/>
        </w:rPr>
      </w:pPr>
    </w:p>
    <w:p w14:paraId="655DC22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 xml:space="preserve">Por lo tanto, no cabe duda alguna que la materia sobre la que se solicita el acceso a la información se trata de información pública dado que se cumplen los requisitos requeridos en dicho artículo.  En primer lugar, el OABFA es una entidad integrante del sector público foral por lo que entra dentro del ámbito subjetivo de la Norma Foral 1/2017 contemplado en su artículo 18.  En segundo lugar, se trata de información elaborada en el ejercicio de las competencias atribuidas al ente. </w:t>
      </w:r>
    </w:p>
    <w:p w14:paraId="58EDE9C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3A2E0CB9" w14:textId="77777777" w:rsidR="00813EA0" w:rsidRPr="00EE3782" w:rsidRDefault="00813EA0" w:rsidP="00813EA0">
      <w:pPr>
        <w:pStyle w:val="Prrafodelista"/>
        <w:numPr>
          <w:ilvl w:val="0"/>
          <w:numId w:val="40"/>
        </w:numPr>
        <w:suppressAutoHyphens/>
        <w:autoSpaceDN w:val="0"/>
        <w:jc w:val="both"/>
        <w:textAlignment w:val="baseline"/>
        <w:rPr>
          <w:color w:val="000000"/>
          <w:sz w:val="24"/>
          <w:szCs w:val="24"/>
          <w:lang w:val="es-ES_tradnl" w:eastAsia="es-ES_tradnl"/>
        </w:rPr>
      </w:pPr>
      <w:r w:rsidRPr="00EE3782">
        <w:rPr>
          <w:color w:val="000000"/>
          <w:sz w:val="24"/>
          <w:szCs w:val="24"/>
          <w:lang w:val="es-ES_tradnl" w:eastAsia="es-ES_tradnl"/>
        </w:rPr>
        <w:t>En cuanto al fondo del asunto, la Ley 19/2013, de 9 de diciembre, de Transparencia, Acceso a la Información Pública y Buen Gobierno, en adelante LTAIBG, establece en su artículo 18.1 a) que se inadmitirán a trámite, mediante resolución motivada, las solicitudes relativas a información que se encuentran en curso de elaboración.  Por otra parte, su apartado e) prevé asimismo la inadmisión de solicitudes que sean manifiestamente repetitivas.</w:t>
      </w:r>
    </w:p>
    <w:p w14:paraId="13AAED1A" w14:textId="77777777" w:rsidR="00813EA0" w:rsidRPr="00EE3782" w:rsidRDefault="00813EA0" w:rsidP="00813EA0">
      <w:pPr>
        <w:suppressAutoHyphens/>
        <w:autoSpaceDN w:val="0"/>
        <w:jc w:val="both"/>
        <w:textAlignment w:val="baseline"/>
        <w:rPr>
          <w:color w:val="000000"/>
          <w:sz w:val="24"/>
          <w:szCs w:val="24"/>
          <w:lang w:val="es-ES_tradnl" w:eastAsia="es-ES_tradnl"/>
        </w:rPr>
      </w:pPr>
    </w:p>
    <w:p w14:paraId="1F56B46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En el presente caso, el Departamento de Equilibrio Territorial se basa en las citadas causas para denegar el acceso a la información solicitada, argumentando, por un lado, que las actas requeridas de 10 de diciembre de 2021 y 23 de marzo de 2022 siguen sin estar aprobadas a día de hoy y, por otro, que la solicitud de 27 de junio de 2022 constituye un claro ejemplo de reiteración de información, por lo que la solicitud está fuera de los límites de acceso a la información pública recogidos en el artículo 18 de la Ley.  Finalmente, en relación con la petición de actas posteriores, aclara que no es posible su remisión ya que no se han celebrado sesiones del Consejo después del 23 de marzo de 2022.</w:t>
      </w:r>
    </w:p>
    <w:p w14:paraId="5C535823"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04692191"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El artículo 18.1 de la Ley 40/2015, de 1 de octubre, de Régimen Jurídico del Sector Público, prevé sobre las actas de las sesiones celebradas por los órganos colegiados que “</w:t>
      </w:r>
      <w:r w:rsidRPr="00EE3782">
        <w:rPr>
          <w:i/>
          <w:iCs/>
          <w:color w:val="000000"/>
          <w:sz w:val="24"/>
          <w:szCs w:val="24"/>
          <w:lang w:val="es-ES_tradnl" w:eastAsia="es-ES_tradnl"/>
        </w:rPr>
        <w:t>de cada sesión que celebre el órgano colegiado se levantará acta por el secretario, que especificará necesariamente los asistentes, el orden del día de la reunión, las circunstancias del lugar y tiempo en que se ha celebrado, los puntos principales de las deliberaciones, así como el contenido de los acuerdos adoptados</w:t>
      </w:r>
      <w:r w:rsidRPr="00EE3782">
        <w:rPr>
          <w:color w:val="000000"/>
          <w:sz w:val="24"/>
          <w:szCs w:val="24"/>
          <w:lang w:val="es-ES_tradnl" w:eastAsia="es-ES_tradnl"/>
        </w:rPr>
        <w:t>”.</w:t>
      </w:r>
    </w:p>
    <w:p w14:paraId="50396BE6"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45ED478C"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 xml:space="preserve">De esta regulación se desprende que las actas tienen como objetivo dejar constancia del contenido de las reuniones de estos órganos, de los </w:t>
      </w:r>
      <w:proofErr w:type="gramStart"/>
      <w:r w:rsidRPr="00EE3782">
        <w:rPr>
          <w:color w:val="000000"/>
          <w:sz w:val="24"/>
          <w:szCs w:val="24"/>
          <w:lang w:val="es-ES_tradnl" w:eastAsia="es-ES_tradnl"/>
        </w:rPr>
        <w:t>asistentes</w:t>
      </w:r>
      <w:proofErr w:type="gramEnd"/>
      <w:r w:rsidRPr="00EE3782">
        <w:rPr>
          <w:color w:val="000000"/>
          <w:sz w:val="24"/>
          <w:szCs w:val="24"/>
          <w:lang w:val="es-ES_tradnl" w:eastAsia="es-ES_tradnl"/>
        </w:rPr>
        <w:t xml:space="preserve"> así como de la fecha y lugar en que se celebran.  Celebrada la sesión, el secretario ha de elaborarla y remitirla a los miembros para que pueda ser aprobada.  Esto es, mientras que los asistentes no manifiesten su conformidad con el texto del acta no será aprobada y, en consecuencia, su texto no será definitivo pudiendo variar.  Es por ello </w:t>
      </w:r>
      <w:proofErr w:type="gramStart"/>
      <w:r w:rsidRPr="00EE3782">
        <w:rPr>
          <w:color w:val="000000"/>
          <w:sz w:val="24"/>
          <w:szCs w:val="24"/>
          <w:lang w:val="es-ES_tradnl" w:eastAsia="es-ES_tradnl"/>
        </w:rPr>
        <w:t>que</w:t>
      </w:r>
      <w:proofErr w:type="gramEnd"/>
      <w:r w:rsidRPr="00EE3782">
        <w:rPr>
          <w:color w:val="000000"/>
          <w:sz w:val="24"/>
          <w:szCs w:val="24"/>
          <w:lang w:val="es-ES_tradnl" w:eastAsia="es-ES_tradnl"/>
        </w:rPr>
        <w:t>, con la causa de inadmisión del apartado a) del artículo 18 de la LTAIBG, el legislador pretende evitar dar acceso a información cuyo contenido fuese susceptible de variación por encontrarse en proceso de redacción o confección ya que, proporcionar la información en dicho momento, supondría un perjuicio para el solicitante que recibe la información que no podría estar seguro de contenido de la misma al no ser concluyente.</w:t>
      </w:r>
    </w:p>
    <w:p w14:paraId="3ADE9C67"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0922ED6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 xml:space="preserve">Ahora bien, la aplicación de esta causa de inadmisión no deniega el acceso a la información </w:t>
      </w:r>
      <w:proofErr w:type="gramStart"/>
      <w:r w:rsidRPr="00EE3782">
        <w:rPr>
          <w:color w:val="000000"/>
          <w:sz w:val="24"/>
          <w:szCs w:val="24"/>
          <w:lang w:val="es-ES_tradnl" w:eastAsia="es-ES_tradnl"/>
        </w:rPr>
        <w:t>definitivamente</w:t>
      </w:r>
      <w:proofErr w:type="gramEnd"/>
      <w:r w:rsidRPr="00EE3782">
        <w:rPr>
          <w:color w:val="000000"/>
          <w:sz w:val="24"/>
          <w:szCs w:val="24"/>
          <w:lang w:val="es-ES_tradnl" w:eastAsia="es-ES_tradnl"/>
        </w:rPr>
        <w:t xml:space="preserve"> sino que, si no concurre algún otro de los límites de acceso previstos en la LTAIBG, dicho acceso puede ser concedido una vez la información se haya elaborado definitivamente, esto es, una vez que las actas hayan sido aprobadas. </w:t>
      </w:r>
    </w:p>
    <w:p w14:paraId="1BF9E43B"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5CB5692C"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Por lo que respecta al carácter repetitivo de las solicitudes, con arreglo a la interpretación que el Consejo estatal de Transparencia plasmó en el Criterio Interpretativo CI/003/2016, de 14 de julio, una solicitud será repetitiva cuando “</w:t>
      </w:r>
      <w:r w:rsidRPr="00EE3782">
        <w:rPr>
          <w:i/>
          <w:iCs/>
          <w:sz w:val="24"/>
          <w:szCs w:val="24"/>
        </w:rPr>
        <w:t>Coincida con otra u otras presentadas anteriormente por el mismo o los mismos solicitantes y hubiera sido rechazada por aplicación de alguno de los límites del artículo 14 o 15 de la LTAIBG o por concurrir alguna causa de inadmisión en los términos del artículo 18</w:t>
      </w:r>
      <w:r w:rsidRPr="00EE3782">
        <w:t xml:space="preserve">. (…) </w:t>
      </w:r>
      <w:r w:rsidRPr="00EE3782">
        <w:rPr>
          <w:i/>
          <w:iCs/>
          <w:color w:val="000000"/>
          <w:sz w:val="24"/>
          <w:szCs w:val="24"/>
          <w:lang w:val="es-ES_tradnl" w:eastAsia="es-ES_tradnl"/>
        </w:rPr>
        <w:t xml:space="preserve">Coincida con otra u otras presentadas anteriormente por el mismo o los mismos solicitantes y, habiéndose admitido a trámite, se hubiera ofrecido ya la información sin que hubiera existido ninguna modificación real o legal </w:t>
      </w:r>
      <w:r w:rsidRPr="00EE3782">
        <w:rPr>
          <w:i/>
          <w:iCs/>
          <w:color w:val="000000"/>
          <w:sz w:val="24"/>
          <w:szCs w:val="24"/>
          <w:lang w:val="es-ES_tradnl" w:eastAsia="es-ES_tradnl"/>
        </w:rPr>
        <w:lastRenderedPageBreak/>
        <w:t>sobre los datos en su momento ofrecidos. En estos casos, deberá justificarse adecuadamente la ausencia de modificación de los datos inicialmente ofrecidos</w:t>
      </w:r>
      <w:r w:rsidRPr="00EE3782">
        <w:rPr>
          <w:color w:val="000000"/>
          <w:sz w:val="24"/>
          <w:szCs w:val="24"/>
          <w:lang w:val="es-ES_tradnl" w:eastAsia="es-ES_tradnl"/>
        </w:rPr>
        <w:t>.”</w:t>
      </w:r>
    </w:p>
    <w:p w14:paraId="3690B09A"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67D3C1D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41C009EE"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 xml:space="preserve">En el caso que nos ocupa mediante Resolución 1455/2022, de 19 de abril, se dio acceso a todas las actas aprobadas hasta la fecha sin que se hayan celebrado ulteriores reuniones ordinarias en las que aprobar el resto de acta y, en consideración a ello, las posteriores solicitudes de acceso se han archivado ya que, al referirse a documentación todavía en fase de elaboración (artículo 18.1 e) LTAIBG), son reiterativas. </w:t>
      </w:r>
    </w:p>
    <w:p w14:paraId="7F49CB78" w14:textId="77777777" w:rsidR="00813EA0" w:rsidRPr="00EE3782" w:rsidRDefault="00813EA0" w:rsidP="00813EA0">
      <w:pPr>
        <w:suppressAutoHyphens/>
        <w:autoSpaceDN w:val="0"/>
        <w:ind w:left="360"/>
        <w:jc w:val="both"/>
        <w:textAlignment w:val="baseline"/>
        <w:rPr>
          <w:strike/>
          <w:color w:val="000000"/>
          <w:sz w:val="24"/>
          <w:szCs w:val="24"/>
          <w:lang w:val="es-ES_tradnl" w:eastAsia="es-ES_tradnl"/>
        </w:rPr>
      </w:pPr>
    </w:p>
    <w:p w14:paraId="4D0FBCE5"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r w:rsidRPr="00EE3782">
        <w:rPr>
          <w:color w:val="000000"/>
          <w:sz w:val="24"/>
          <w:szCs w:val="24"/>
          <w:lang w:val="es-ES_tradnl" w:eastAsia="es-ES_tradnl"/>
        </w:rPr>
        <w:t>En consecuencia, procede concluir que son aplicables las causas de inadmisión previstas en los apartados a) y e) del artículo 18.1 LTAIBG, dado que el contenido de las actas solicitadas, al no estar aprobadas, no son definitivas, por lo que se trata de información en curso de elaboración que, no obstante, podrá ser puesta a disposición del reclamante una vez concluida,</w:t>
      </w:r>
    </w:p>
    <w:p w14:paraId="6FCE723C" w14:textId="77777777" w:rsidR="00813EA0" w:rsidRPr="00EE3782" w:rsidRDefault="00813EA0" w:rsidP="00813EA0">
      <w:pPr>
        <w:suppressAutoHyphens/>
        <w:autoSpaceDN w:val="0"/>
        <w:ind w:left="360"/>
        <w:jc w:val="both"/>
        <w:textAlignment w:val="baseline"/>
        <w:rPr>
          <w:color w:val="000000"/>
          <w:sz w:val="24"/>
          <w:szCs w:val="24"/>
          <w:lang w:val="es-ES_tradnl" w:eastAsia="es-ES_tradnl"/>
        </w:rPr>
      </w:pPr>
    </w:p>
    <w:p w14:paraId="5E0147DA" w14:textId="77777777" w:rsidR="00813EA0" w:rsidRPr="00EE3782" w:rsidRDefault="00813EA0" w:rsidP="00813EA0">
      <w:pPr>
        <w:tabs>
          <w:tab w:val="left" w:pos="473"/>
        </w:tabs>
        <w:jc w:val="both"/>
        <w:rPr>
          <w:sz w:val="24"/>
          <w:szCs w:val="24"/>
        </w:rPr>
      </w:pPr>
      <w:r w:rsidRPr="00EE3782">
        <w:rPr>
          <w:sz w:val="24"/>
          <w:szCs w:val="24"/>
        </w:rPr>
        <w:t>En virtud de todo ello, el Consejo Foral de Transparencia adopta, por unanimidad, la siguiente</w:t>
      </w:r>
    </w:p>
    <w:p w14:paraId="722E714D" w14:textId="77777777" w:rsidR="00813EA0" w:rsidRPr="00EE3782" w:rsidRDefault="00813EA0" w:rsidP="00813EA0">
      <w:pPr>
        <w:tabs>
          <w:tab w:val="left" w:pos="473"/>
        </w:tabs>
        <w:jc w:val="both"/>
        <w:rPr>
          <w:sz w:val="24"/>
          <w:szCs w:val="24"/>
        </w:rPr>
      </w:pPr>
    </w:p>
    <w:p w14:paraId="7ABD8184" w14:textId="77777777" w:rsidR="00813EA0" w:rsidRPr="00EE3782" w:rsidRDefault="00813EA0" w:rsidP="00813EA0">
      <w:pPr>
        <w:jc w:val="center"/>
        <w:rPr>
          <w:color w:val="000000"/>
          <w:sz w:val="24"/>
          <w:szCs w:val="24"/>
          <w:lang w:eastAsia="es-ES_tradnl"/>
        </w:rPr>
      </w:pPr>
      <w:r w:rsidRPr="00EE3782">
        <w:rPr>
          <w:b/>
          <w:bCs/>
          <w:color w:val="000000"/>
          <w:sz w:val="24"/>
          <w:szCs w:val="24"/>
          <w:lang w:eastAsia="es-ES_tradnl"/>
        </w:rPr>
        <w:t>RESOLUCIÓN</w:t>
      </w:r>
    </w:p>
    <w:p w14:paraId="531EB08B" w14:textId="77777777" w:rsidR="00813EA0" w:rsidRPr="00EE3782" w:rsidRDefault="00813EA0" w:rsidP="00813EA0">
      <w:pPr>
        <w:jc w:val="both"/>
        <w:rPr>
          <w:color w:val="000000"/>
          <w:sz w:val="24"/>
          <w:szCs w:val="24"/>
          <w:lang w:eastAsia="es-ES_tradnl"/>
        </w:rPr>
      </w:pPr>
    </w:p>
    <w:p w14:paraId="5B67AD9E" w14:textId="46E7AEE6" w:rsidR="00813EA0" w:rsidRPr="00EE3782" w:rsidRDefault="00813EA0" w:rsidP="00813EA0">
      <w:pPr>
        <w:autoSpaceDE w:val="0"/>
        <w:autoSpaceDN w:val="0"/>
        <w:adjustRightInd w:val="0"/>
        <w:jc w:val="both"/>
        <w:rPr>
          <w:color w:val="000000"/>
          <w:sz w:val="24"/>
          <w:szCs w:val="24"/>
          <w:lang w:val="es-ES_tradnl" w:eastAsia="es-ES_tradnl"/>
        </w:rPr>
      </w:pPr>
      <w:r w:rsidRPr="00EE3782">
        <w:rPr>
          <w:b/>
          <w:color w:val="000000"/>
          <w:sz w:val="24"/>
          <w:szCs w:val="24"/>
          <w:lang w:eastAsia="es-ES_tradnl"/>
        </w:rPr>
        <w:t xml:space="preserve">Primero. </w:t>
      </w:r>
      <w:r w:rsidRPr="00EE3782">
        <w:rPr>
          <w:bCs/>
          <w:color w:val="000000"/>
          <w:sz w:val="24"/>
          <w:szCs w:val="24"/>
          <w:lang w:eastAsia="es-ES_tradnl"/>
        </w:rPr>
        <w:t xml:space="preserve">Desestimar </w:t>
      </w:r>
      <w:r w:rsidRPr="00EE3782">
        <w:rPr>
          <w:color w:val="000000"/>
          <w:sz w:val="24"/>
          <w:szCs w:val="24"/>
          <w:lang w:eastAsia="es-ES_tradnl"/>
        </w:rPr>
        <w:t xml:space="preserve">la reclamación formulada </w:t>
      </w:r>
      <w:r w:rsidRPr="0057586C">
        <w:rPr>
          <w:color w:val="000000"/>
          <w:sz w:val="24"/>
          <w:szCs w:val="24"/>
          <w:lang w:eastAsia="es-ES_tradnl"/>
        </w:rPr>
        <w:t xml:space="preserve">por </w:t>
      </w:r>
      <w:r w:rsidR="0057586C" w:rsidRPr="00D2135B">
        <w:rPr>
          <w:b/>
          <w:bCs/>
          <w:color w:val="000000"/>
          <w:sz w:val="24"/>
          <w:szCs w:val="24"/>
          <w:highlight w:val="black"/>
          <w:lang w:eastAsia="es-ES_tradnl"/>
        </w:rPr>
        <w:t>XXXXX</w:t>
      </w:r>
      <w:r w:rsidRPr="00EE3782">
        <w:rPr>
          <w:color w:val="000000"/>
          <w:sz w:val="24"/>
          <w:szCs w:val="24"/>
          <w:lang w:eastAsia="es-ES_tradnl"/>
        </w:rPr>
        <w:t xml:space="preserve"> contra la Resolución del </w:t>
      </w:r>
      <w:proofErr w:type="gramStart"/>
      <w:r w:rsidRPr="00EE3782">
        <w:rPr>
          <w:color w:val="000000"/>
          <w:sz w:val="24"/>
          <w:szCs w:val="24"/>
          <w:lang w:eastAsia="es-ES_tradnl"/>
        </w:rPr>
        <w:t>Director</w:t>
      </w:r>
      <w:proofErr w:type="gramEnd"/>
      <w:r w:rsidRPr="00EE3782">
        <w:rPr>
          <w:color w:val="000000"/>
          <w:sz w:val="24"/>
          <w:szCs w:val="24"/>
          <w:lang w:eastAsia="es-ES_tradnl"/>
        </w:rPr>
        <w:t xml:space="preserve"> de Equilibrio Territorial 2688/2022, de 22 de julio, </w:t>
      </w:r>
      <w:r w:rsidRPr="00EE3782">
        <w:rPr>
          <w:color w:val="000000"/>
          <w:sz w:val="24"/>
          <w:szCs w:val="24"/>
          <w:lang w:val="es-ES_tradnl" w:eastAsia="es-ES_tradnl"/>
        </w:rPr>
        <w:t>por concurrir los requisitos del artículo 18 de la Norma Foral 1/2017, de 8 de febrero, de Transparencia, Participación Ciudadana y Buen Gobierno del Territorio Histórico de Álava.</w:t>
      </w:r>
    </w:p>
    <w:p w14:paraId="337C8088" w14:textId="77777777" w:rsidR="00813EA0" w:rsidRPr="00EE3782" w:rsidRDefault="00813EA0" w:rsidP="00813EA0">
      <w:pPr>
        <w:autoSpaceDE w:val="0"/>
        <w:autoSpaceDN w:val="0"/>
        <w:adjustRightInd w:val="0"/>
        <w:jc w:val="both"/>
        <w:rPr>
          <w:color w:val="000000"/>
          <w:sz w:val="24"/>
          <w:szCs w:val="24"/>
          <w:lang w:val="es-ES_tradnl" w:eastAsia="es-ES_tradnl"/>
        </w:rPr>
      </w:pPr>
    </w:p>
    <w:p w14:paraId="4A5BBE18" w14:textId="77777777" w:rsidR="00813EA0" w:rsidRPr="00EE3782" w:rsidRDefault="00813EA0" w:rsidP="00813EA0">
      <w:pPr>
        <w:jc w:val="both"/>
        <w:rPr>
          <w:color w:val="000000"/>
          <w:sz w:val="24"/>
          <w:szCs w:val="24"/>
          <w:lang w:eastAsia="es-ES_tradnl"/>
        </w:rPr>
      </w:pPr>
      <w:r w:rsidRPr="00EE3782">
        <w:rPr>
          <w:b/>
          <w:color w:val="000000"/>
          <w:sz w:val="24"/>
          <w:szCs w:val="24"/>
          <w:lang w:eastAsia="es-ES_tradnl"/>
        </w:rPr>
        <w:t>Segundo.</w:t>
      </w:r>
      <w:r w:rsidRPr="00EE3782">
        <w:rPr>
          <w:color w:val="000000"/>
          <w:sz w:val="24"/>
          <w:szCs w:val="24"/>
          <w:lang w:eastAsia="es-ES_tradnl"/>
        </w:rPr>
        <w:t xml:space="preserve"> Inadmitir las pretensiones recogidas en los apartados SEGUNDO y TERCERO de la solicitud por los motivos expuestos en el fundamento jurídico número 4. </w:t>
      </w:r>
    </w:p>
    <w:p w14:paraId="3C986CA5" w14:textId="77777777" w:rsidR="00813EA0" w:rsidRPr="00EE3782" w:rsidRDefault="00813EA0" w:rsidP="00813EA0">
      <w:pPr>
        <w:jc w:val="both"/>
        <w:rPr>
          <w:color w:val="000000"/>
          <w:sz w:val="24"/>
          <w:szCs w:val="24"/>
          <w:lang w:eastAsia="es-ES_tradnl"/>
        </w:rPr>
      </w:pPr>
    </w:p>
    <w:p w14:paraId="3E8CCC2F" w14:textId="77777777" w:rsidR="00813EA0" w:rsidRPr="00EE3782" w:rsidRDefault="00813EA0" w:rsidP="00813EA0">
      <w:pPr>
        <w:jc w:val="both"/>
        <w:rPr>
          <w:color w:val="000000"/>
          <w:sz w:val="24"/>
          <w:szCs w:val="24"/>
          <w:lang w:eastAsia="es-ES_tradnl"/>
        </w:rPr>
      </w:pPr>
      <w:r w:rsidRPr="00EE3782">
        <w:rPr>
          <w:b/>
          <w:bCs/>
          <w:color w:val="000000"/>
          <w:sz w:val="24"/>
          <w:szCs w:val="24"/>
          <w:lang w:eastAsia="es-ES_tradnl"/>
        </w:rPr>
        <w:t>Tercero.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6F9E113F" w14:textId="77777777" w:rsidR="00903823" w:rsidRPr="002D0911" w:rsidRDefault="00903823" w:rsidP="003A4B81">
      <w:pPr>
        <w:jc w:val="both"/>
        <w:rPr>
          <w:color w:val="000000"/>
          <w:sz w:val="24"/>
          <w:szCs w:val="24"/>
          <w:lang w:val="es-ES_tradnl" w:eastAsia="es-ES_tradnl"/>
        </w:rPr>
      </w:pPr>
    </w:p>
    <w:p w14:paraId="1E08A00A" w14:textId="77777777" w:rsidR="00202B68" w:rsidRPr="00202B68" w:rsidRDefault="00202B68" w:rsidP="003A4B81">
      <w:pPr>
        <w:tabs>
          <w:tab w:val="left" w:pos="567"/>
          <w:tab w:val="left" w:pos="851"/>
        </w:tabs>
        <w:jc w:val="both"/>
        <w:rPr>
          <w:sz w:val="22"/>
          <w:szCs w:val="22"/>
          <w:lang w:val="es-ES_tradnl" w:bidi="or-IN"/>
        </w:rPr>
      </w:pPr>
    </w:p>
    <w:p w14:paraId="4BF066BD" w14:textId="77777777" w:rsidR="00202B68" w:rsidRDefault="00202B68" w:rsidP="003A4B81">
      <w:pPr>
        <w:tabs>
          <w:tab w:val="left" w:pos="567"/>
          <w:tab w:val="left" w:pos="851"/>
        </w:tabs>
        <w:jc w:val="both"/>
        <w:rPr>
          <w:sz w:val="22"/>
          <w:szCs w:val="22"/>
          <w:lang w:val="es-ES_tradnl" w:bidi="or-IN"/>
        </w:rPr>
      </w:pPr>
    </w:p>
    <w:p w14:paraId="60A248F5" w14:textId="77777777" w:rsidR="009639DF" w:rsidRPr="00202B68" w:rsidRDefault="009639DF" w:rsidP="003A4B81">
      <w:pPr>
        <w:tabs>
          <w:tab w:val="left" w:pos="567"/>
          <w:tab w:val="left" w:pos="851"/>
        </w:tabs>
        <w:jc w:val="both"/>
        <w:rPr>
          <w:sz w:val="22"/>
          <w:szCs w:val="22"/>
          <w:lang w:val="es-ES_tradnl" w:bidi="or-IN"/>
        </w:rPr>
      </w:pPr>
    </w:p>
    <w:p w14:paraId="4CD5D936" w14:textId="77777777" w:rsidR="00202B68" w:rsidRPr="00202B68" w:rsidRDefault="00202B68" w:rsidP="003A4B81">
      <w:pPr>
        <w:tabs>
          <w:tab w:val="left" w:pos="567"/>
          <w:tab w:val="left" w:pos="851"/>
        </w:tabs>
        <w:jc w:val="both"/>
        <w:rPr>
          <w:sz w:val="22"/>
          <w:szCs w:val="22"/>
          <w:lang w:val="es-ES_tradnl" w:bidi="or-IN"/>
        </w:rPr>
      </w:pPr>
    </w:p>
    <w:sectPr w:rsidR="00202B68" w:rsidRPr="00202B68"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DE54" w14:textId="77777777" w:rsidR="00421143" w:rsidRDefault="00421143">
      <w:r>
        <w:separator/>
      </w:r>
    </w:p>
  </w:endnote>
  <w:endnote w:type="continuationSeparator" w:id="0">
    <w:p w14:paraId="397CA991" w14:textId="77777777" w:rsidR="00421143" w:rsidRDefault="004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DA8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1A779D">
      <w:rPr>
        <w:rStyle w:val="Nmerodepgina"/>
        <w:noProof/>
      </w:rPr>
      <w:t>4</w:t>
    </w:r>
    <w:r>
      <w:rPr>
        <w:rStyle w:val="Nmerodepgina"/>
      </w:rPr>
      <w:fldChar w:fldCharType="end"/>
    </w:r>
  </w:p>
  <w:p w14:paraId="4EF5B825"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938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1A779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626B" w14:textId="77777777" w:rsidR="00421143" w:rsidRDefault="00421143">
      <w:r>
        <w:separator/>
      </w:r>
    </w:p>
  </w:footnote>
  <w:footnote w:type="continuationSeparator" w:id="0">
    <w:p w14:paraId="0D78CA97" w14:textId="77777777" w:rsidR="00421143" w:rsidRDefault="0042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5CCCE5A4" w14:textId="77777777" w:rsidTr="002234FA">
      <w:tc>
        <w:tcPr>
          <w:tcW w:w="6804" w:type="dxa"/>
        </w:tcPr>
        <w:p w14:paraId="58A1ED6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6AC96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730707060" r:id="rId2"/>
            </w:object>
          </w:r>
        </w:p>
      </w:tc>
      <w:tc>
        <w:tcPr>
          <w:tcW w:w="3686" w:type="dxa"/>
        </w:tcPr>
        <w:p w14:paraId="571D7789"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07FAAEC"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B92B07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0710E63" w14:textId="77777777" w:rsidTr="002234FA">
      <w:tc>
        <w:tcPr>
          <w:tcW w:w="6804" w:type="dxa"/>
        </w:tcPr>
        <w:p w14:paraId="74069D88"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CC76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730707061" r:id="rId2"/>
            </w:object>
          </w:r>
        </w:p>
      </w:tc>
      <w:tc>
        <w:tcPr>
          <w:tcW w:w="3686" w:type="dxa"/>
        </w:tcPr>
        <w:p w14:paraId="3CD66C8F"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90F710F"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C41BFC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5D24F6B4" w14:textId="77777777" w:rsidTr="00EA7E02">
      <w:tc>
        <w:tcPr>
          <w:tcW w:w="6804" w:type="dxa"/>
        </w:tcPr>
        <w:bookmarkStart w:id="1" w:name="_MON_1284444778"/>
        <w:bookmarkEnd w:id="1"/>
        <w:p w14:paraId="5BE450CA"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198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730707062" r:id="rId2"/>
            </w:object>
          </w:r>
        </w:p>
      </w:tc>
      <w:tc>
        <w:tcPr>
          <w:tcW w:w="3686" w:type="dxa"/>
        </w:tcPr>
        <w:p w14:paraId="60FC49E5"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49ABC157"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E1937E5"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9"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0"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1"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2"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6"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19"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1"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6"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8"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9"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0"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1"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8DE0EE8"/>
    <w:multiLevelType w:val="hybridMultilevel"/>
    <w:tmpl w:val="4A4CCAC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6"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7"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0"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1"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2"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18"/>
  </w:num>
  <w:num w:numId="4">
    <w:abstractNumId w:val="42"/>
  </w:num>
  <w:num w:numId="5">
    <w:abstractNumId w:val="14"/>
  </w:num>
  <w:num w:numId="6">
    <w:abstractNumId w:val="9"/>
  </w:num>
  <w:num w:numId="7">
    <w:abstractNumId w:val="20"/>
  </w:num>
  <w:num w:numId="8">
    <w:abstractNumId w:val="33"/>
  </w:num>
  <w:num w:numId="9">
    <w:abstractNumId w:val="41"/>
  </w:num>
  <w:num w:numId="10">
    <w:abstractNumId w:val="28"/>
  </w:num>
  <w:num w:numId="11">
    <w:abstractNumId w:val="8"/>
  </w:num>
  <w:num w:numId="12">
    <w:abstractNumId w:val="23"/>
  </w:num>
  <w:num w:numId="13">
    <w:abstractNumId w:val="27"/>
  </w:num>
  <w:num w:numId="14">
    <w:abstractNumId w:val="30"/>
  </w:num>
  <w:num w:numId="15">
    <w:abstractNumId w:val="6"/>
  </w:num>
  <w:num w:numId="16">
    <w:abstractNumId w:val="40"/>
  </w:num>
  <w:num w:numId="17">
    <w:abstractNumId w:val="36"/>
  </w:num>
  <w:num w:numId="18">
    <w:abstractNumId w:val="12"/>
  </w:num>
  <w:num w:numId="19">
    <w:abstractNumId w:val="15"/>
  </w:num>
  <w:num w:numId="20">
    <w:abstractNumId w:val="19"/>
  </w:num>
  <w:num w:numId="21">
    <w:abstractNumId w:val="24"/>
  </w:num>
  <w:num w:numId="22">
    <w:abstractNumId w:val="39"/>
  </w:num>
  <w:num w:numId="23">
    <w:abstractNumId w:val="4"/>
  </w:num>
  <w:num w:numId="24">
    <w:abstractNumId w:val="29"/>
  </w:num>
  <w:num w:numId="25">
    <w:abstractNumId w:val="32"/>
  </w:num>
  <w:num w:numId="26">
    <w:abstractNumId w:val="25"/>
  </w:num>
  <w:num w:numId="27">
    <w:abstractNumId w:val="35"/>
  </w:num>
  <w:num w:numId="28">
    <w:abstractNumId w:val="2"/>
  </w:num>
  <w:num w:numId="29">
    <w:abstractNumId w:val="1"/>
  </w:num>
  <w:num w:numId="30">
    <w:abstractNumId w:val="17"/>
  </w:num>
  <w:num w:numId="31">
    <w:abstractNumId w:val="7"/>
  </w:num>
  <w:num w:numId="32">
    <w:abstractNumId w:val="0"/>
  </w:num>
  <w:num w:numId="33">
    <w:abstractNumId w:val="13"/>
  </w:num>
  <w:num w:numId="34">
    <w:abstractNumId w:val="16"/>
  </w:num>
  <w:num w:numId="35">
    <w:abstractNumId w:val="5"/>
  </w:num>
  <w:num w:numId="36">
    <w:abstractNumId w:val="31"/>
  </w:num>
  <w:num w:numId="37">
    <w:abstractNumId w:val="22"/>
  </w:num>
  <w:num w:numId="38">
    <w:abstractNumId w:val="26"/>
  </w:num>
  <w:num w:numId="39">
    <w:abstractNumId w:val="21"/>
  </w:num>
  <w:num w:numId="40">
    <w:abstractNumId w:val="34"/>
  </w:num>
  <w:num w:numId="41">
    <w:abstractNumId w:val="3"/>
  </w:num>
  <w:num w:numId="42">
    <w:abstractNumId w:val="37"/>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45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402EF"/>
    <w:rsid w:val="00055D17"/>
    <w:rsid w:val="00092084"/>
    <w:rsid w:val="000956AD"/>
    <w:rsid w:val="000B4298"/>
    <w:rsid w:val="000C7EA1"/>
    <w:rsid w:val="000E09C1"/>
    <w:rsid w:val="000E1BEE"/>
    <w:rsid w:val="000E7B68"/>
    <w:rsid w:val="000F76EF"/>
    <w:rsid w:val="00104E57"/>
    <w:rsid w:val="00155E65"/>
    <w:rsid w:val="00182E18"/>
    <w:rsid w:val="001A0C37"/>
    <w:rsid w:val="001A779D"/>
    <w:rsid w:val="001B2F39"/>
    <w:rsid w:val="001C0AC3"/>
    <w:rsid w:val="001C3EE2"/>
    <w:rsid w:val="001E4DD8"/>
    <w:rsid w:val="001F7B1A"/>
    <w:rsid w:val="002006B3"/>
    <w:rsid w:val="0020070B"/>
    <w:rsid w:val="00202B68"/>
    <w:rsid w:val="00214599"/>
    <w:rsid w:val="0021727F"/>
    <w:rsid w:val="002226F1"/>
    <w:rsid w:val="00223D73"/>
    <w:rsid w:val="00225796"/>
    <w:rsid w:val="0025131D"/>
    <w:rsid w:val="002558F4"/>
    <w:rsid w:val="00260193"/>
    <w:rsid w:val="002B4B8E"/>
    <w:rsid w:val="002B5429"/>
    <w:rsid w:val="002B7950"/>
    <w:rsid w:val="002D0911"/>
    <w:rsid w:val="002D1139"/>
    <w:rsid w:val="002D39E7"/>
    <w:rsid w:val="002E4C10"/>
    <w:rsid w:val="002F31BA"/>
    <w:rsid w:val="00304687"/>
    <w:rsid w:val="00314173"/>
    <w:rsid w:val="00314F2C"/>
    <w:rsid w:val="00323001"/>
    <w:rsid w:val="0032385E"/>
    <w:rsid w:val="00326F72"/>
    <w:rsid w:val="003473F4"/>
    <w:rsid w:val="00350448"/>
    <w:rsid w:val="003641D9"/>
    <w:rsid w:val="00364EFB"/>
    <w:rsid w:val="00366B60"/>
    <w:rsid w:val="003678FE"/>
    <w:rsid w:val="00370B52"/>
    <w:rsid w:val="00373750"/>
    <w:rsid w:val="00386026"/>
    <w:rsid w:val="0038783A"/>
    <w:rsid w:val="0039407B"/>
    <w:rsid w:val="003A4B81"/>
    <w:rsid w:val="003B27EB"/>
    <w:rsid w:val="003D1DC6"/>
    <w:rsid w:val="003E37BB"/>
    <w:rsid w:val="00421143"/>
    <w:rsid w:val="00446F4A"/>
    <w:rsid w:val="0045288B"/>
    <w:rsid w:val="004568B7"/>
    <w:rsid w:val="0047585F"/>
    <w:rsid w:val="0047592A"/>
    <w:rsid w:val="004902C1"/>
    <w:rsid w:val="00494E1F"/>
    <w:rsid w:val="004A46DC"/>
    <w:rsid w:val="004C5545"/>
    <w:rsid w:val="004D4FBB"/>
    <w:rsid w:val="004D5793"/>
    <w:rsid w:val="004D6E8C"/>
    <w:rsid w:val="004F1ED8"/>
    <w:rsid w:val="00504C69"/>
    <w:rsid w:val="00515D72"/>
    <w:rsid w:val="005441B3"/>
    <w:rsid w:val="00547717"/>
    <w:rsid w:val="005527EF"/>
    <w:rsid w:val="00556FD4"/>
    <w:rsid w:val="00566490"/>
    <w:rsid w:val="00574D99"/>
    <w:rsid w:val="0057586C"/>
    <w:rsid w:val="005805D1"/>
    <w:rsid w:val="00593DBC"/>
    <w:rsid w:val="005A1985"/>
    <w:rsid w:val="005B28DE"/>
    <w:rsid w:val="005E21EE"/>
    <w:rsid w:val="005E4059"/>
    <w:rsid w:val="005F4669"/>
    <w:rsid w:val="0062535A"/>
    <w:rsid w:val="00626128"/>
    <w:rsid w:val="006535C2"/>
    <w:rsid w:val="00653B9B"/>
    <w:rsid w:val="00667A3A"/>
    <w:rsid w:val="00670C7D"/>
    <w:rsid w:val="00676EAD"/>
    <w:rsid w:val="00682140"/>
    <w:rsid w:val="00691ADA"/>
    <w:rsid w:val="006B265C"/>
    <w:rsid w:val="006E4143"/>
    <w:rsid w:val="006E765D"/>
    <w:rsid w:val="006F5AEA"/>
    <w:rsid w:val="00705BB6"/>
    <w:rsid w:val="00716153"/>
    <w:rsid w:val="00740346"/>
    <w:rsid w:val="0074338A"/>
    <w:rsid w:val="00756329"/>
    <w:rsid w:val="00760F98"/>
    <w:rsid w:val="007672DC"/>
    <w:rsid w:val="007A13A5"/>
    <w:rsid w:val="007A35BB"/>
    <w:rsid w:val="007A3D99"/>
    <w:rsid w:val="00800527"/>
    <w:rsid w:val="00806859"/>
    <w:rsid w:val="00813EA0"/>
    <w:rsid w:val="00821BAD"/>
    <w:rsid w:val="008369B9"/>
    <w:rsid w:val="00853643"/>
    <w:rsid w:val="00865493"/>
    <w:rsid w:val="00876045"/>
    <w:rsid w:val="00886679"/>
    <w:rsid w:val="00892420"/>
    <w:rsid w:val="00893189"/>
    <w:rsid w:val="008A544B"/>
    <w:rsid w:val="008A5CB6"/>
    <w:rsid w:val="008B3715"/>
    <w:rsid w:val="008D0293"/>
    <w:rsid w:val="008D42C6"/>
    <w:rsid w:val="008F3372"/>
    <w:rsid w:val="0090120D"/>
    <w:rsid w:val="00903823"/>
    <w:rsid w:val="00904C0E"/>
    <w:rsid w:val="00905BF2"/>
    <w:rsid w:val="009158D2"/>
    <w:rsid w:val="00917B01"/>
    <w:rsid w:val="00926FF0"/>
    <w:rsid w:val="009430E7"/>
    <w:rsid w:val="00950371"/>
    <w:rsid w:val="00950E0F"/>
    <w:rsid w:val="009639DF"/>
    <w:rsid w:val="00966EA2"/>
    <w:rsid w:val="009732EF"/>
    <w:rsid w:val="00983A68"/>
    <w:rsid w:val="009A78C7"/>
    <w:rsid w:val="009C49B3"/>
    <w:rsid w:val="009C7C14"/>
    <w:rsid w:val="009D4CE1"/>
    <w:rsid w:val="009E0A63"/>
    <w:rsid w:val="009F1FC4"/>
    <w:rsid w:val="00A00173"/>
    <w:rsid w:val="00A0552F"/>
    <w:rsid w:val="00A1637B"/>
    <w:rsid w:val="00A211C7"/>
    <w:rsid w:val="00A2399C"/>
    <w:rsid w:val="00A23CF0"/>
    <w:rsid w:val="00A465FD"/>
    <w:rsid w:val="00A53A91"/>
    <w:rsid w:val="00A6067F"/>
    <w:rsid w:val="00A6350D"/>
    <w:rsid w:val="00A84247"/>
    <w:rsid w:val="00AA1A44"/>
    <w:rsid w:val="00AA4FAB"/>
    <w:rsid w:val="00AA776B"/>
    <w:rsid w:val="00AC3A52"/>
    <w:rsid w:val="00B200DF"/>
    <w:rsid w:val="00B356B9"/>
    <w:rsid w:val="00B37348"/>
    <w:rsid w:val="00B45527"/>
    <w:rsid w:val="00B45B3D"/>
    <w:rsid w:val="00B511B1"/>
    <w:rsid w:val="00B55176"/>
    <w:rsid w:val="00B7226F"/>
    <w:rsid w:val="00B81D7C"/>
    <w:rsid w:val="00B84867"/>
    <w:rsid w:val="00BA119E"/>
    <w:rsid w:val="00BA71A8"/>
    <w:rsid w:val="00BD594A"/>
    <w:rsid w:val="00BE399E"/>
    <w:rsid w:val="00BF474B"/>
    <w:rsid w:val="00BF684B"/>
    <w:rsid w:val="00C32290"/>
    <w:rsid w:val="00C46095"/>
    <w:rsid w:val="00C46602"/>
    <w:rsid w:val="00C51DE3"/>
    <w:rsid w:val="00C70708"/>
    <w:rsid w:val="00C76D51"/>
    <w:rsid w:val="00C82F02"/>
    <w:rsid w:val="00C900BA"/>
    <w:rsid w:val="00CB6C8C"/>
    <w:rsid w:val="00CE6F22"/>
    <w:rsid w:val="00CE7129"/>
    <w:rsid w:val="00CF1778"/>
    <w:rsid w:val="00D050C5"/>
    <w:rsid w:val="00D069AC"/>
    <w:rsid w:val="00D2135B"/>
    <w:rsid w:val="00D52D85"/>
    <w:rsid w:val="00D65B4E"/>
    <w:rsid w:val="00D661B2"/>
    <w:rsid w:val="00DB2480"/>
    <w:rsid w:val="00DE1E56"/>
    <w:rsid w:val="00DE38A1"/>
    <w:rsid w:val="00DF5BB9"/>
    <w:rsid w:val="00E040FE"/>
    <w:rsid w:val="00E12CA9"/>
    <w:rsid w:val="00E24E38"/>
    <w:rsid w:val="00E57131"/>
    <w:rsid w:val="00E61E58"/>
    <w:rsid w:val="00E61EF4"/>
    <w:rsid w:val="00E65C29"/>
    <w:rsid w:val="00E6665D"/>
    <w:rsid w:val="00E8028A"/>
    <w:rsid w:val="00E82F56"/>
    <w:rsid w:val="00E84222"/>
    <w:rsid w:val="00EC6977"/>
    <w:rsid w:val="00EE6984"/>
    <w:rsid w:val="00F13674"/>
    <w:rsid w:val="00F1593E"/>
    <w:rsid w:val="00F171C1"/>
    <w:rsid w:val="00F2639D"/>
    <w:rsid w:val="00F54818"/>
    <w:rsid w:val="00F62817"/>
    <w:rsid w:val="00F672EA"/>
    <w:rsid w:val="00F70120"/>
    <w:rsid w:val="00F739CF"/>
    <w:rsid w:val="00F8380C"/>
    <w:rsid w:val="00F84C7D"/>
    <w:rsid w:val="00F86699"/>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0"/>
    <o:shapelayout v:ext="edit">
      <o:idmap v:ext="edit" data="1"/>
    </o:shapelayout>
  </w:shapeDefaults>
  <w:decimalSymbol w:val=","/>
  <w:listSeparator w:val=";"/>
  <w14:docId w14:val="432F939C"/>
  <w15:docId w15:val="{374109AE-58E6-4872-BA3D-CC6C2387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4D6E8C"/>
    <w:rPr>
      <w:color w:val="605E5C"/>
      <w:shd w:val="clear" w:color="auto" w:fill="E1DFDD"/>
    </w:rPr>
  </w:style>
  <w:style w:type="paragraph" w:customStyle="1" w:styleId="Default">
    <w:name w:val="Default"/>
    <w:rsid w:val="00813EA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7742-F004-48A3-9F0E-7E98D3E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26</TotalTime>
  <Pages>5</Pages>
  <Words>2171</Words>
  <Characters>11269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rlcajas12</dc:creator>
  <cp:lastModifiedBy>Urien Salterain, Karoline</cp:lastModifiedBy>
  <cp:revision>14</cp:revision>
  <cp:lastPrinted>2022-07-28T10:31:00Z</cp:lastPrinted>
  <dcterms:created xsi:type="dcterms:W3CDTF">2022-11-22T09:42:00Z</dcterms:created>
  <dcterms:modified xsi:type="dcterms:W3CDTF">2022-11-23T10:11:00Z</dcterms:modified>
</cp:coreProperties>
</file>